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napToGrid w:val="0"/>
        <w:outlineLvl w:val="0"/>
        <w:rPr>
          <w:rFonts w:ascii="Times New Roman" w:hAnsi="Times New Roman" w:eastAsia="黑体" w:cs="Times New Roman"/>
          <w:color w:val="000000" w:themeColor="text1"/>
          <w:sz w:val="28"/>
          <w:szCs w:val="28"/>
          <w14:textFill>
            <w14:solidFill>
              <w14:schemeClr w14:val="tx1"/>
            </w14:solidFill>
          </w14:textFill>
        </w:rPr>
      </w:pPr>
      <w:r>
        <w:rPr>
          <w:rFonts w:ascii="Times New Roman" w:hAnsi="Times New Roman" w:eastAsia="黑体" w:cs="Times New Roman"/>
          <w:color w:val="000000" w:themeColor="text1"/>
          <w:sz w:val="28"/>
          <w:szCs w:val="28"/>
          <w14:textFill>
            <w14:solidFill>
              <w14:schemeClr w14:val="tx1"/>
            </w14:solidFill>
          </w14:textFill>
        </w:rPr>
        <w:t>附件5</w:t>
      </w:r>
    </w:p>
    <w:p>
      <w:pPr>
        <w:jc w:val="center"/>
        <w:rPr>
          <w:rFonts w:ascii="Times New Roman" w:hAnsi="Times New Roman" w:eastAsia="方正小标宋简体" w:cs="Times New Roman"/>
          <w:snapToGrid w:val="0"/>
          <w:color w:val="000000" w:themeColor="text1"/>
          <w:spacing w:val="-10"/>
          <w:sz w:val="44"/>
          <w:szCs w:val="44"/>
          <w14:textFill>
            <w14:solidFill>
              <w14:schemeClr w14:val="tx1"/>
            </w14:solidFill>
          </w14:textFill>
        </w:rPr>
      </w:pPr>
    </w:p>
    <w:p>
      <w:pPr>
        <w:jc w:val="center"/>
        <w:rPr>
          <w:rFonts w:ascii="Times New Roman" w:hAnsi="Times New Roman" w:eastAsia="方正小标宋简体" w:cs="Times New Roman"/>
          <w:snapToGrid w:val="0"/>
          <w:color w:val="000000" w:themeColor="text1"/>
          <w:spacing w:val="-10"/>
          <w:sz w:val="44"/>
          <w:szCs w:val="44"/>
          <w14:textFill>
            <w14:solidFill>
              <w14:schemeClr w14:val="tx1"/>
            </w14:solidFill>
          </w14:textFill>
        </w:rPr>
      </w:pPr>
    </w:p>
    <w:p>
      <w:pPr>
        <w:snapToGrid w:val="0"/>
        <w:jc w:val="center"/>
        <w:textAlignment w:val="baseline"/>
        <w:rPr>
          <w:rFonts w:ascii="Times New Roman" w:hAnsi="Times New Roman" w:eastAsia="方正小标宋简体" w:cs="Times New Roman"/>
          <w:bCs/>
          <w:color w:val="000000" w:themeColor="text1"/>
          <w:sz w:val="40"/>
          <w:szCs w:val="40"/>
          <w14:textFill>
            <w14:solidFill>
              <w14:schemeClr w14:val="tx1"/>
            </w14:solidFill>
          </w14:textFill>
        </w:rPr>
      </w:pPr>
      <w:r>
        <w:rPr>
          <w:rFonts w:hint="eastAsia" w:ascii="Times New Roman" w:hAnsi="Times New Roman" w:eastAsia="方正小标宋简体" w:cs="Times New Roman"/>
          <w:bCs/>
          <w:color w:val="000000" w:themeColor="text1"/>
          <w:sz w:val="40"/>
          <w:szCs w:val="40"/>
          <w14:textFill>
            <w14:solidFill>
              <w14:schemeClr w14:val="tx1"/>
            </w14:solidFill>
          </w14:textFill>
        </w:rPr>
        <w:t>职业本科</w:t>
      </w:r>
      <w:r>
        <w:rPr>
          <w:rFonts w:ascii="Times New Roman" w:hAnsi="Times New Roman" w:eastAsia="方正小标宋简体" w:cs="Times New Roman"/>
          <w:bCs/>
          <w:color w:val="000000" w:themeColor="text1"/>
          <w:sz w:val="40"/>
          <w:szCs w:val="40"/>
          <w14:textFill>
            <w14:solidFill>
              <w14:schemeClr w14:val="tx1"/>
            </w14:solidFill>
          </w14:textFill>
        </w:rPr>
        <w:t>拟招生专业信息表</w:t>
      </w:r>
    </w:p>
    <w:p>
      <w:pPr>
        <w:jc w:val="center"/>
        <w:outlineLvl w:val="0"/>
        <w:rPr>
          <w:rFonts w:ascii="楷体" w:hAnsi="楷体" w:eastAsia="楷体" w:cs="楷体"/>
          <w:b/>
          <w:bCs/>
          <w:snapToGrid w:val="0"/>
          <w:color w:val="000000" w:themeColor="text1"/>
          <w:spacing w:val="-10"/>
          <w:sz w:val="44"/>
          <w:szCs w:val="44"/>
          <w14:textFill>
            <w14:solidFill>
              <w14:schemeClr w14:val="tx1"/>
            </w14:solidFill>
          </w14:textFill>
        </w:rPr>
      </w:pPr>
      <w:r>
        <w:rPr>
          <w:rFonts w:hint="eastAsia" w:ascii="楷体" w:hAnsi="楷体" w:eastAsia="楷体" w:cs="楷体"/>
          <w:bCs/>
          <w:color w:val="000000" w:themeColor="text1"/>
          <w:sz w:val="36"/>
          <w:szCs w:val="36"/>
          <w14:textFill>
            <w14:solidFill>
              <w14:schemeClr w14:val="tx1"/>
            </w14:solidFill>
          </w14:textFill>
        </w:rPr>
        <w:t>（新增设）</w:t>
      </w:r>
    </w:p>
    <w:p>
      <w:pPr>
        <w:ind w:left="930" w:leftChars="443"/>
        <w:rPr>
          <w:rFonts w:ascii="Times New Roman" w:hAnsi="Times New Roman" w:eastAsia="楷体_GB2312" w:cs="Times New Roman"/>
          <w:color w:val="000000" w:themeColor="text1"/>
          <w:sz w:val="32"/>
          <w:szCs w:val="32"/>
          <w:lang w:bidi="ar"/>
          <w14:textFill>
            <w14:solidFill>
              <w14:schemeClr w14:val="tx1"/>
            </w14:solidFill>
          </w14:textFill>
        </w:rPr>
      </w:pPr>
    </w:p>
    <w:tbl>
      <w:tblPr>
        <w:tblStyle w:val="13"/>
        <w:tblW w:w="801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20"/>
        <w:gridCol w:w="38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4120" w:type="dxa"/>
          </w:tcPr>
          <w:p>
            <w:pPr>
              <w:ind w:left="563" w:leftChars="268"/>
              <w:jc w:val="distribute"/>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lang w:bidi="ar"/>
                <w14:textFill>
                  <w14:solidFill>
                    <w14:schemeClr w14:val="tx1"/>
                  </w14:solidFill>
                </w14:textFill>
              </w:rPr>
              <w:t>学校名称(盖章)：</w:t>
            </w:r>
          </w:p>
        </w:tc>
        <w:tc>
          <w:tcPr>
            <w:tcW w:w="3891" w:type="dxa"/>
          </w:tcPr>
          <w:p>
            <w:pPr>
              <w:widowControl/>
              <w:overflowPunct w:val="0"/>
              <w:adjustRightInd w:val="0"/>
              <w:jc w:val="righ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丽水学院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4120" w:type="dxa"/>
          </w:tcPr>
          <w:p>
            <w:pPr>
              <w:ind w:left="563" w:leftChars="268"/>
              <w:jc w:val="distribute"/>
              <w:rPr>
                <w:rFonts w:ascii="Times New Roman" w:hAnsi="Times New Roman" w:eastAsia="仿宋_GB2312" w:cs="Times New Roman"/>
                <w:color w:val="000000" w:themeColor="text1"/>
                <w:sz w:val="32"/>
                <w:szCs w:val="32"/>
                <w:lang w:bidi="ar"/>
                <w14:textFill>
                  <w14:solidFill>
                    <w14:schemeClr w14:val="tx1"/>
                  </w14:solidFill>
                </w14:textFill>
              </w:rPr>
            </w:pPr>
            <w:r>
              <w:rPr>
                <w:rFonts w:hint="eastAsia" w:ascii="Times New Roman" w:hAnsi="Times New Roman" w:eastAsia="仿宋_GB2312" w:cs="Times New Roman"/>
                <w:color w:val="000000" w:themeColor="text1"/>
                <w:sz w:val="32"/>
                <w:szCs w:val="32"/>
                <w:lang w:bidi="ar"/>
                <w14:textFill>
                  <w14:solidFill>
                    <w14:schemeClr w14:val="tx1"/>
                  </w14:solidFill>
                </w14:textFill>
              </w:rPr>
              <w:t>学校主管部门：</w:t>
            </w:r>
          </w:p>
        </w:tc>
        <w:tc>
          <w:tcPr>
            <w:tcW w:w="3891" w:type="dxa"/>
          </w:tcPr>
          <w:p>
            <w:pPr>
              <w:widowControl/>
              <w:overflowPunct w:val="0"/>
              <w:adjustRightInd w:val="0"/>
              <w:jc w:val="right"/>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浙江省教育厅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4120" w:type="dxa"/>
          </w:tcPr>
          <w:p>
            <w:pPr>
              <w:ind w:left="563" w:leftChars="268"/>
              <w:jc w:val="distribute"/>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lang w:bidi="ar"/>
                <w14:textFill>
                  <w14:solidFill>
                    <w14:schemeClr w14:val="tx1"/>
                  </w14:solidFill>
                </w14:textFill>
              </w:rPr>
              <w:t>专业名称：</w:t>
            </w:r>
          </w:p>
        </w:tc>
        <w:tc>
          <w:tcPr>
            <w:tcW w:w="3891" w:type="dxa"/>
          </w:tcPr>
          <w:p>
            <w:pPr>
              <w:widowControl/>
              <w:overflowPunct w:val="0"/>
              <w:adjustRightInd w:val="0"/>
              <w:jc w:val="righ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智能</w:t>
            </w:r>
            <w:r>
              <w:rPr>
                <w:rFonts w:hint="eastAsia" w:ascii="Times New Roman" w:hAnsi="Times New Roman" w:eastAsia="仿宋_GB2312" w:cs="Times New Roman"/>
                <w:color w:val="000000" w:themeColor="text1"/>
                <w:sz w:val="32"/>
                <w:szCs w:val="32"/>
                <w14:textFill>
                  <w14:solidFill>
                    <w14:schemeClr w14:val="tx1"/>
                  </w14:solidFill>
                </w14:textFill>
              </w:rPr>
              <w:t>控制</w:t>
            </w:r>
            <w:r>
              <w:rPr>
                <w:rFonts w:ascii="Times New Roman" w:hAnsi="Times New Roman" w:eastAsia="仿宋_GB2312" w:cs="Times New Roman"/>
                <w:color w:val="000000" w:themeColor="text1"/>
                <w:sz w:val="32"/>
                <w:szCs w:val="32"/>
                <w14:textFill>
                  <w14:solidFill>
                    <w14:schemeClr w14:val="tx1"/>
                  </w14:solidFill>
                </w14:textFill>
              </w:rPr>
              <w:t>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4120" w:type="dxa"/>
          </w:tcPr>
          <w:p>
            <w:pPr>
              <w:ind w:left="563" w:leftChars="268"/>
              <w:jc w:val="distribute"/>
              <w:rPr>
                <w:rFonts w:ascii="Times New Roman" w:hAnsi="Times New Roman" w:eastAsia="仿宋_GB2312" w:cs="Times New Roman"/>
                <w:color w:val="000000" w:themeColor="text1"/>
                <w:sz w:val="32"/>
                <w:szCs w:val="32"/>
                <w:lang w:bidi="ar"/>
                <w14:textFill>
                  <w14:solidFill>
                    <w14:schemeClr w14:val="tx1"/>
                  </w14:solidFill>
                </w14:textFill>
              </w:rPr>
            </w:pPr>
            <w:r>
              <w:rPr>
                <w:rFonts w:ascii="Times New Roman" w:hAnsi="Times New Roman" w:eastAsia="仿宋_GB2312" w:cs="Times New Roman"/>
                <w:color w:val="000000" w:themeColor="text1"/>
                <w:sz w:val="32"/>
                <w:szCs w:val="32"/>
                <w:lang w:bidi="ar"/>
                <w14:textFill>
                  <w14:solidFill>
                    <w14:schemeClr w14:val="tx1"/>
                  </w14:solidFill>
                </w14:textFill>
              </w:rPr>
              <w:t>专业代码：</w:t>
            </w:r>
          </w:p>
        </w:tc>
        <w:tc>
          <w:tcPr>
            <w:tcW w:w="3891" w:type="dxa"/>
          </w:tcPr>
          <w:p>
            <w:pPr>
              <w:widowControl/>
              <w:overflowPunct w:val="0"/>
              <w:adjustRightInd w:val="0"/>
              <w:jc w:val="righ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260303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4120" w:type="dxa"/>
          </w:tcPr>
          <w:p>
            <w:pPr>
              <w:ind w:left="563" w:leftChars="268"/>
              <w:jc w:val="distribute"/>
              <w:rPr>
                <w:rFonts w:ascii="Times New Roman" w:hAnsi="Times New Roman" w:eastAsia="仿宋_GB2312" w:cs="Times New Roman"/>
                <w:color w:val="000000" w:themeColor="text1"/>
                <w:sz w:val="32"/>
                <w:szCs w:val="32"/>
                <w:lang w:bidi="ar"/>
                <w14:textFill>
                  <w14:solidFill>
                    <w14:schemeClr w14:val="tx1"/>
                  </w14:solidFill>
                </w14:textFill>
              </w:rPr>
            </w:pPr>
            <w:r>
              <w:rPr>
                <w:rFonts w:hint="eastAsia" w:ascii="Times New Roman" w:hAnsi="Times New Roman" w:eastAsia="仿宋_GB2312" w:cs="Times New Roman"/>
                <w:color w:val="000000" w:themeColor="text1"/>
                <w:sz w:val="32"/>
                <w:szCs w:val="32"/>
                <w:lang w:bidi="ar"/>
                <w14:textFill>
                  <w14:solidFill>
                    <w14:schemeClr w14:val="tx1"/>
                  </w14:solidFill>
                </w14:textFill>
              </w:rPr>
              <w:t>修业年限：</w:t>
            </w:r>
          </w:p>
        </w:tc>
        <w:tc>
          <w:tcPr>
            <w:tcW w:w="3891" w:type="dxa"/>
          </w:tcPr>
          <w:p>
            <w:pPr>
              <w:widowControl/>
              <w:overflowPunct w:val="0"/>
              <w:adjustRightInd w:val="0"/>
              <w:jc w:val="right"/>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4120" w:type="dxa"/>
          </w:tcPr>
          <w:p>
            <w:pPr>
              <w:ind w:left="563" w:leftChars="268"/>
              <w:jc w:val="distribute"/>
              <w:rPr>
                <w:rFonts w:ascii="Times New Roman" w:hAnsi="Times New Roman" w:eastAsia="仿宋_GB2312" w:cs="Times New Roman"/>
                <w:color w:val="000000" w:themeColor="text1"/>
                <w:sz w:val="32"/>
                <w:szCs w:val="32"/>
                <w:lang w:bidi="ar"/>
                <w14:textFill>
                  <w14:solidFill>
                    <w14:schemeClr w14:val="tx1"/>
                  </w14:solidFill>
                </w14:textFill>
              </w:rPr>
            </w:pPr>
            <w:r>
              <w:rPr>
                <w:rFonts w:ascii="Times New Roman" w:hAnsi="Times New Roman" w:eastAsia="仿宋_GB2312" w:cs="Times New Roman"/>
                <w:color w:val="000000" w:themeColor="text1"/>
                <w:sz w:val="32"/>
                <w:szCs w:val="32"/>
                <w:lang w:bidi="ar"/>
                <w14:textFill>
                  <w14:solidFill>
                    <w14:schemeClr w14:val="tx1"/>
                  </w14:solidFill>
                </w14:textFill>
              </w:rPr>
              <w:t>拟招生数：</w:t>
            </w:r>
          </w:p>
        </w:tc>
        <w:tc>
          <w:tcPr>
            <w:tcW w:w="3891" w:type="dxa"/>
          </w:tcPr>
          <w:p>
            <w:pPr>
              <w:widowControl/>
              <w:overflowPunct w:val="0"/>
              <w:adjustRightInd w:val="0"/>
              <w:jc w:val="right"/>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5</w:t>
            </w:r>
            <w:r>
              <w:rPr>
                <w:rFonts w:ascii="Times New Roman" w:hAnsi="Times New Roman" w:eastAsia="仿宋_GB2312" w:cs="Times New Roman"/>
                <w:color w:val="000000" w:themeColor="text1"/>
                <w:sz w:val="32"/>
                <w:szCs w:val="32"/>
                <w14:textFill>
                  <w14:solidFill>
                    <w14:schemeClr w14:val="tx1"/>
                  </w14:solidFill>
                </w14:textFill>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120" w:type="dxa"/>
          </w:tcPr>
          <w:p>
            <w:pPr>
              <w:ind w:left="563" w:leftChars="268"/>
              <w:jc w:val="distribute"/>
              <w:rPr>
                <w:rFonts w:ascii="Times New Roman" w:hAnsi="Times New Roman" w:eastAsia="仿宋_GB2312" w:cs="Times New Roman"/>
                <w:color w:val="000000" w:themeColor="text1"/>
                <w:sz w:val="32"/>
                <w:szCs w:val="32"/>
                <w:lang w:bidi="ar"/>
                <w14:textFill>
                  <w14:solidFill>
                    <w14:schemeClr w14:val="tx1"/>
                  </w14:solidFill>
                </w14:textFill>
              </w:rPr>
            </w:pPr>
            <w:r>
              <w:rPr>
                <w:rFonts w:ascii="Times New Roman" w:hAnsi="Times New Roman" w:eastAsia="仿宋_GB2312" w:cs="Times New Roman"/>
                <w:color w:val="000000" w:themeColor="text1"/>
                <w:spacing w:val="-20"/>
                <w:sz w:val="32"/>
                <w:szCs w:val="32"/>
                <w:lang w:bidi="ar"/>
                <w14:textFill>
                  <w14:solidFill>
                    <w14:schemeClr w14:val="tx1"/>
                  </w14:solidFill>
                </w14:textFill>
              </w:rPr>
              <w:t>专业负责人</w:t>
            </w:r>
            <w:r>
              <w:rPr>
                <w:rFonts w:ascii="Times New Roman" w:hAnsi="Times New Roman" w:eastAsia="仿宋_GB2312" w:cs="Times New Roman"/>
                <w:color w:val="000000" w:themeColor="text1"/>
                <w:sz w:val="32"/>
                <w:szCs w:val="32"/>
                <w:lang w:bidi="ar"/>
                <w14:textFill>
                  <w14:solidFill>
                    <w14:schemeClr w14:val="tx1"/>
                  </w14:solidFill>
                </w14:textFill>
              </w:rPr>
              <w:t>：</w:t>
            </w:r>
          </w:p>
        </w:tc>
        <w:tc>
          <w:tcPr>
            <w:tcW w:w="3891" w:type="dxa"/>
          </w:tcPr>
          <w:p>
            <w:pPr>
              <w:widowControl/>
              <w:overflowPunct w:val="0"/>
              <w:adjustRightInd w:val="0"/>
              <w:jc w:val="right"/>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吴晓飞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4120" w:type="dxa"/>
          </w:tcPr>
          <w:p>
            <w:pPr>
              <w:ind w:left="563" w:leftChars="268"/>
              <w:jc w:val="distribute"/>
              <w:rPr>
                <w:rFonts w:ascii="Times New Roman" w:hAnsi="Times New Roman" w:eastAsia="仿宋_GB2312" w:cs="Times New Roman"/>
                <w:color w:val="000000" w:themeColor="text1"/>
                <w:sz w:val="32"/>
                <w:szCs w:val="32"/>
                <w:lang w:bidi="ar"/>
                <w14:textFill>
                  <w14:solidFill>
                    <w14:schemeClr w14:val="tx1"/>
                  </w14:solidFill>
                </w14:textFill>
              </w:rPr>
            </w:pPr>
            <w:r>
              <w:rPr>
                <w:rFonts w:ascii="Times New Roman" w:hAnsi="Times New Roman" w:eastAsia="仿宋_GB2312" w:cs="Times New Roman"/>
                <w:color w:val="000000" w:themeColor="text1"/>
                <w:sz w:val="32"/>
                <w:szCs w:val="32"/>
                <w:lang w:bidi="ar"/>
                <w14:textFill>
                  <w14:solidFill>
                    <w14:schemeClr w14:val="tx1"/>
                  </w14:solidFill>
                </w14:textFill>
              </w:rPr>
              <w:t>联系电话：</w:t>
            </w:r>
          </w:p>
        </w:tc>
        <w:tc>
          <w:tcPr>
            <w:tcW w:w="3891" w:type="dxa"/>
          </w:tcPr>
          <w:p>
            <w:pPr>
              <w:widowControl/>
              <w:overflowPunct w:val="0"/>
              <w:adjustRightInd w:val="0"/>
              <w:jc w:val="righ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13754275401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4120" w:type="dxa"/>
          </w:tcPr>
          <w:p>
            <w:pPr>
              <w:ind w:left="563" w:leftChars="268"/>
              <w:jc w:val="distribute"/>
              <w:rPr>
                <w:rFonts w:ascii="Times New Roman" w:hAnsi="Times New Roman" w:eastAsia="仿宋_GB2312" w:cs="Times New Roman"/>
                <w:color w:val="000000" w:themeColor="text1"/>
                <w:sz w:val="32"/>
                <w:szCs w:val="32"/>
                <w:lang w:bidi="ar"/>
                <w14:textFill>
                  <w14:solidFill>
                    <w14:schemeClr w14:val="tx1"/>
                  </w14:solidFill>
                </w14:textFill>
              </w:rPr>
            </w:pPr>
            <w:r>
              <w:rPr>
                <w:rFonts w:ascii="Times New Roman" w:hAnsi="Times New Roman" w:eastAsia="仿宋_GB2312" w:cs="Times New Roman"/>
                <w:color w:val="000000" w:themeColor="text1"/>
                <w:sz w:val="32"/>
                <w:szCs w:val="32"/>
                <w:lang w:bidi="ar"/>
                <w14:textFill>
                  <w14:solidFill>
                    <w14:schemeClr w14:val="tx1"/>
                  </w14:solidFill>
                </w14:textFill>
              </w:rPr>
              <w:t>申请时间：</w:t>
            </w:r>
          </w:p>
        </w:tc>
        <w:tc>
          <w:tcPr>
            <w:tcW w:w="3891" w:type="dxa"/>
          </w:tcPr>
          <w:p>
            <w:pPr>
              <w:widowControl/>
              <w:overflowPunct w:val="0"/>
              <w:adjustRightInd w:val="0"/>
              <w:jc w:val="right"/>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2</w:t>
            </w:r>
            <w:r>
              <w:rPr>
                <w:rFonts w:ascii="Times New Roman" w:hAnsi="Times New Roman" w:eastAsia="仿宋_GB2312" w:cs="Times New Roman"/>
                <w:color w:val="000000" w:themeColor="text1"/>
                <w:sz w:val="32"/>
                <w:szCs w:val="32"/>
                <w14:textFill>
                  <w14:solidFill>
                    <w14:schemeClr w14:val="tx1"/>
                  </w14:solidFill>
                </w14:textFill>
              </w:rPr>
              <w:t>023年</w:t>
            </w:r>
            <w:r>
              <w:rPr>
                <w:rFonts w:hint="eastAsia" w:ascii="Times New Roman" w:hAnsi="Times New Roman" w:eastAsia="仿宋_GB2312" w:cs="Times New Roman"/>
                <w:color w:val="000000" w:themeColor="text1"/>
                <w:sz w:val="32"/>
                <w:szCs w:val="32"/>
                <w14:textFill>
                  <w14:solidFill>
                    <w14:schemeClr w14:val="tx1"/>
                  </w14:solidFill>
                </w14:textFill>
              </w:rPr>
              <w:t>11月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4120" w:type="dxa"/>
          </w:tcPr>
          <w:p>
            <w:pPr>
              <w:ind w:left="563" w:leftChars="268"/>
              <w:jc w:val="distribute"/>
              <w:rPr>
                <w:rFonts w:ascii="Times New Roman" w:hAnsi="Times New Roman" w:eastAsia="仿宋_GB2312" w:cs="Times New Roman"/>
                <w:color w:val="000000" w:themeColor="text1"/>
                <w:sz w:val="32"/>
                <w:szCs w:val="32"/>
                <w:lang w:bidi="ar"/>
                <w14:textFill>
                  <w14:solidFill>
                    <w14:schemeClr w14:val="tx1"/>
                  </w14:solidFill>
                </w14:textFill>
              </w:rPr>
            </w:pPr>
            <w:r>
              <w:rPr>
                <w:rFonts w:ascii="Times New Roman" w:hAnsi="Times New Roman" w:eastAsia="仿宋_GB2312" w:cs="Times New Roman"/>
                <w:color w:val="000000" w:themeColor="text1"/>
                <w:sz w:val="32"/>
                <w:szCs w:val="32"/>
                <w:lang w:bidi="ar"/>
                <w14:textFill>
                  <w14:solidFill>
                    <w14:schemeClr w14:val="tx1"/>
                  </w14:solidFill>
                </w14:textFill>
              </w:rPr>
              <w:t>法定代表人签字：</w:t>
            </w:r>
          </w:p>
        </w:tc>
        <w:tc>
          <w:tcPr>
            <w:tcW w:w="3891" w:type="dxa"/>
          </w:tcPr>
          <w:p>
            <w:pPr>
              <w:widowControl/>
              <w:overflowPunct w:val="0"/>
              <w:adjustRightInd w:val="0"/>
              <w:jc w:val="right"/>
              <w:rPr>
                <w:rFonts w:ascii="Times New Roman" w:hAnsi="Times New Roman" w:eastAsia="仿宋_GB2312" w:cs="Times New Roman"/>
                <w:color w:val="000000" w:themeColor="text1"/>
                <w:sz w:val="32"/>
                <w:szCs w:val="32"/>
                <w14:textFill>
                  <w14:solidFill>
                    <w14:schemeClr w14:val="tx1"/>
                  </w14:solidFill>
                </w14:textFill>
              </w:rPr>
            </w:pPr>
          </w:p>
        </w:tc>
      </w:tr>
    </w:tbl>
    <w:p>
      <w:pPr>
        <w:ind w:left="930" w:leftChars="443"/>
        <w:rPr>
          <w:rFonts w:ascii="Times New Roman" w:hAnsi="Times New Roman" w:eastAsia="楷体_GB2312" w:cs="Times New Roman"/>
          <w:color w:val="000000" w:themeColor="text1"/>
          <w:sz w:val="32"/>
          <w:szCs w:val="32"/>
          <w:lang w:bidi="ar"/>
          <w14:textFill>
            <w14:solidFill>
              <w14:schemeClr w14:val="tx1"/>
            </w14:solidFill>
          </w14:textFill>
        </w:rPr>
      </w:pPr>
    </w:p>
    <w:p>
      <w:pPr>
        <w:ind w:left="930" w:leftChars="443"/>
        <w:rPr>
          <w:rFonts w:ascii="Times New Roman" w:hAnsi="Times New Roman" w:eastAsia="楷体_GB2312" w:cs="Times New Roman"/>
          <w:color w:val="000000" w:themeColor="text1"/>
          <w:sz w:val="32"/>
          <w:szCs w:val="32"/>
          <w:lang w:bidi="ar"/>
          <w14:textFill>
            <w14:solidFill>
              <w14:schemeClr w14:val="tx1"/>
            </w14:solidFill>
          </w14:textFill>
        </w:rPr>
      </w:pPr>
    </w:p>
    <w:p>
      <w:pPr>
        <w:pStyle w:val="12"/>
        <w:rPr>
          <w:rFonts w:ascii="Times New Roman" w:hAnsi="Times New Roman" w:eastAsia="楷体_GB2312" w:cs="Times New Roman"/>
          <w:color w:val="000000" w:themeColor="text1"/>
          <w:sz w:val="32"/>
          <w:szCs w:val="32"/>
          <w:lang w:bidi="ar"/>
          <w14:textFill>
            <w14:solidFill>
              <w14:schemeClr w14:val="tx1"/>
            </w14:solidFill>
          </w14:textFill>
        </w:rPr>
      </w:pPr>
    </w:p>
    <w:p>
      <w:pPr>
        <w:pStyle w:val="12"/>
        <w:rPr>
          <w:rFonts w:ascii="Times New Roman" w:hAnsi="Times New Roman" w:eastAsia="楷体_GB2312" w:cs="Times New Roman"/>
          <w:color w:val="000000" w:themeColor="text1"/>
          <w:sz w:val="32"/>
          <w:szCs w:val="32"/>
          <w:lang w:bidi="ar"/>
          <w14:textFill>
            <w14:solidFill>
              <w14:schemeClr w14:val="tx1"/>
            </w14:solidFill>
          </w14:textFill>
        </w:rPr>
      </w:pPr>
    </w:p>
    <w:p>
      <w:pPr>
        <w:ind w:left="930" w:leftChars="443"/>
        <w:rPr>
          <w:rFonts w:ascii="Times New Roman" w:hAnsi="Times New Roman" w:eastAsia="楷体_GB2312" w:cs="Times New Roman"/>
          <w:color w:val="000000" w:themeColor="text1"/>
          <w:sz w:val="32"/>
          <w:szCs w:val="32"/>
          <w:lang w:bidi="ar"/>
          <w14:textFill>
            <w14:solidFill>
              <w14:schemeClr w14:val="tx1"/>
            </w14:solidFill>
          </w14:textFill>
        </w:rPr>
      </w:pPr>
    </w:p>
    <w:p>
      <w:pPr>
        <w:jc w:val="center"/>
        <w:rPr>
          <w:rFonts w:ascii="Times New Roman" w:hAnsi="Times New Roman" w:eastAsia="楷体_GB2312" w:cs="Times New Roman"/>
          <w:color w:val="000000" w:themeColor="text1"/>
          <w:sz w:val="36"/>
          <w:szCs w:val="24"/>
          <w14:textFill>
            <w14:solidFill>
              <w14:schemeClr w14:val="tx1"/>
            </w14:solidFill>
          </w14:textFill>
        </w:rPr>
      </w:pPr>
      <w:r>
        <w:rPr>
          <w:rFonts w:ascii="Times New Roman" w:hAnsi="Times New Roman" w:eastAsia="仿宋_GB2312" w:cs="Times New Roman"/>
          <w:color w:val="000000" w:themeColor="text1"/>
          <w:sz w:val="36"/>
          <w14:textFill>
            <w14:solidFill>
              <w14:schemeClr w14:val="tx1"/>
            </w14:solidFill>
          </w14:textFill>
        </w:rPr>
        <w:t>中华人民共和国教育部制</w:t>
      </w:r>
    </w:p>
    <w:p>
      <w:pPr>
        <w:jc w:val="center"/>
        <w:rPr>
          <w:rFonts w:ascii="Times New Roman" w:hAnsi="Times New Roman" w:eastAsia="楷体_GB2312" w:cs="Times New Roman"/>
          <w:color w:val="000000" w:themeColor="text1"/>
          <w:sz w:val="36"/>
          <w:szCs w:val="24"/>
          <w14:textFill>
            <w14:solidFill>
              <w14:schemeClr w14:val="tx1"/>
            </w14:solidFill>
          </w14:textFill>
        </w:rPr>
      </w:pPr>
    </w:p>
    <w:p>
      <w:pPr>
        <w:jc w:val="center"/>
        <w:rPr>
          <w:rFonts w:ascii="Times New Roman" w:hAnsi="Times New Roman" w:eastAsia="楷体_GB2312" w:cs="Times New Roman"/>
          <w:color w:val="000000" w:themeColor="text1"/>
          <w:sz w:val="32"/>
          <w:szCs w:val="32"/>
          <w:lang w:bidi="ar"/>
          <w14:textFill>
            <w14:solidFill>
              <w14:schemeClr w14:val="tx1"/>
            </w14:solidFill>
          </w14:textFill>
        </w:rPr>
      </w:pPr>
    </w:p>
    <w:p>
      <w:pPr>
        <w:jc w:val="center"/>
        <w:rPr>
          <w:rFonts w:ascii="Times New Roman" w:hAnsi="Times New Roman" w:eastAsia="楷体_GB2312" w:cs="Times New Roman"/>
          <w:color w:val="000000" w:themeColor="text1"/>
          <w:sz w:val="32"/>
          <w:szCs w:val="32"/>
          <w:lang w:bidi="ar"/>
          <w14:textFill>
            <w14:solidFill>
              <w14:schemeClr w14:val="tx1"/>
            </w14:solidFill>
          </w14:textFill>
        </w:rPr>
        <w:sectPr>
          <w:footerReference r:id="rId4" w:type="first"/>
          <w:footerReference r:id="rId3" w:type="default"/>
          <w:pgSz w:w="11906" w:h="16838"/>
          <w:pgMar w:top="1440" w:right="1803" w:bottom="1440" w:left="1803" w:header="851" w:footer="850" w:gutter="0"/>
          <w:cols w:space="720" w:num="1"/>
          <w:titlePg/>
          <w:docGrid w:type="lines" w:linePitch="579" w:charSpace="21679"/>
        </w:sectPr>
      </w:pPr>
    </w:p>
    <w:p>
      <w:pPr>
        <w:jc w:val="center"/>
        <w:rPr>
          <w:rFonts w:ascii="Times New Roman" w:hAnsi="Times New Roman" w:eastAsia="楷体_GB2312" w:cs="Times New Roman"/>
          <w:color w:val="000000" w:themeColor="text1"/>
          <w:sz w:val="32"/>
          <w:szCs w:val="32"/>
          <w:lang w:bidi="ar"/>
          <w14:textFill>
            <w14:solidFill>
              <w14:schemeClr w14:val="tx1"/>
            </w14:solidFill>
          </w14:textFill>
        </w:rPr>
      </w:pPr>
    </w:p>
    <w:p>
      <w:pPr>
        <w:jc w:val="center"/>
        <w:rPr>
          <w:rFonts w:ascii="Times New Roman" w:hAnsi="Times New Roman" w:eastAsia="楷体_GB2312" w:cs="Times New Roman"/>
          <w:color w:val="000000" w:themeColor="text1"/>
          <w:sz w:val="32"/>
          <w:szCs w:val="32"/>
          <w:lang w:bidi="ar"/>
          <w14:textFill>
            <w14:solidFill>
              <w14:schemeClr w14:val="tx1"/>
            </w14:solidFill>
          </w14:textFill>
        </w:rPr>
      </w:pPr>
    </w:p>
    <w:p>
      <w:pPr>
        <w:jc w:val="center"/>
        <w:rPr>
          <w:rFonts w:ascii="Times New Roman" w:hAnsi="Times New Roman" w:eastAsia="仿宋_GB2312" w:cs="Times New Roman"/>
          <w:color w:val="000000" w:themeColor="text1"/>
          <w:sz w:val="32"/>
          <w:szCs w:val="32"/>
          <w:lang w:bidi="ar"/>
          <w14:textFill>
            <w14:solidFill>
              <w14:schemeClr w14:val="tx1"/>
            </w14:solidFill>
          </w14:textFill>
        </w:rPr>
      </w:pPr>
      <w:r>
        <w:rPr>
          <w:rFonts w:ascii="Times New Roman" w:hAnsi="Times New Roman" w:eastAsia="仿宋_GB2312" w:cs="Times New Roman"/>
          <w:color w:val="000000" w:themeColor="text1"/>
          <w:sz w:val="32"/>
          <w:szCs w:val="32"/>
          <w:lang w:bidi="ar"/>
          <w14:textFill>
            <w14:solidFill>
              <w14:schemeClr w14:val="tx1"/>
            </w14:solidFill>
          </w14:textFill>
        </w:rPr>
        <w:t>填表说明</w:t>
      </w:r>
    </w:p>
    <w:p>
      <w:pPr>
        <w:jc w:val="center"/>
        <w:rPr>
          <w:rFonts w:ascii="Times New Roman" w:hAnsi="Times New Roman" w:eastAsia="仿宋_GB2312" w:cs="Times New Roman"/>
          <w:color w:val="000000" w:themeColor="text1"/>
          <w:sz w:val="32"/>
          <w:szCs w:val="32"/>
          <w:lang w:bidi="ar"/>
          <w14:textFill>
            <w14:solidFill>
              <w14:schemeClr w14:val="tx1"/>
            </w14:solidFill>
          </w14:textFill>
        </w:rPr>
      </w:pPr>
    </w:p>
    <w:p>
      <w:pPr>
        <w:ind w:firstLine="640" w:firstLineChars="200"/>
        <w:jc w:val="left"/>
        <w:rPr>
          <w:rFonts w:ascii="Times New Roman" w:hAnsi="Times New Roman" w:eastAsia="仿宋_GB2312" w:cs="Times New Roman"/>
          <w:color w:val="000000" w:themeColor="text1"/>
          <w:sz w:val="32"/>
          <w:szCs w:val="32"/>
          <w:lang w:bidi="ar"/>
          <w14:textFill>
            <w14:solidFill>
              <w14:schemeClr w14:val="tx1"/>
            </w14:solidFill>
          </w14:textFill>
        </w:rPr>
      </w:pPr>
      <w:r>
        <w:rPr>
          <w:rFonts w:ascii="Times New Roman" w:hAnsi="Times New Roman" w:eastAsia="仿宋_GB2312" w:cs="Times New Roman"/>
          <w:color w:val="000000" w:themeColor="text1"/>
          <w:sz w:val="32"/>
          <w:szCs w:val="32"/>
          <w:lang w:bidi="ar"/>
          <w14:textFill>
            <w14:solidFill>
              <w14:schemeClr w14:val="tx1"/>
            </w14:solidFill>
          </w14:textFill>
        </w:rPr>
        <w:t>1.本表用于各学校填报新增拟招生的</w:t>
      </w:r>
      <w:r>
        <w:rPr>
          <w:rFonts w:hint="eastAsia" w:ascii="Times New Roman" w:hAnsi="Times New Roman" w:eastAsia="仿宋_GB2312" w:cs="Times New Roman"/>
          <w:color w:val="000000" w:themeColor="text1"/>
          <w:sz w:val="32"/>
          <w:szCs w:val="32"/>
          <w:lang w:bidi="ar"/>
          <w14:textFill>
            <w14:solidFill>
              <w14:schemeClr w14:val="tx1"/>
            </w14:solidFill>
          </w14:textFill>
        </w:rPr>
        <w:t>职业本科</w:t>
      </w:r>
      <w:r>
        <w:rPr>
          <w:rFonts w:ascii="Times New Roman" w:hAnsi="Times New Roman" w:eastAsia="仿宋_GB2312" w:cs="Times New Roman"/>
          <w:color w:val="000000" w:themeColor="text1"/>
          <w:sz w:val="32"/>
          <w:szCs w:val="32"/>
          <w:lang w:bidi="ar"/>
          <w14:textFill>
            <w14:solidFill>
              <w14:schemeClr w14:val="tx1"/>
            </w14:solidFill>
          </w14:textFill>
        </w:rPr>
        <w:t>教育专业信息。</w:t>
      </w:r>
    </w:p>
    <w:p>
      <w:pPr>
        <w:ind w:firstLine="640" w:firstLineChars="200"/>
        <w:jc w:val="left"/>
        <w:rPr>
          <w:rFonts w:ascii="Times New Roman" w:hAnsi="Times New Roman" w:eastAsia="仿宋_GB2312" w:cs="Times New Roman"/>
          <w:color w:val="000000" w:themeColor="text1"/>
          <w:sz w:val="32"/>
          <w:szCs w:val="32"/>
          <w:lang w:bidi="ar"/>
          <w14:textFill>
            <w14:solidFill>
              <w14:schemeClr w14:val="tx1"/>
            </w14:solidFill>
          </w14:textFill>
        </w:rPr>
      </w:pPr>
      <w:r>
        <w:rPr>
          <w:rFonts w:ascii="Times New Roman" w:hAnsi="Times New Roman" w:eastAsia="仿宋_GB2312" w:cs="Times New Roman"/>
          <w:color w:val="000000" w:themeColor="text1"/>
          <w:sz w:val="32"/>
          <w:szCs w:val="32"/>
          <w:lang w:bidi="ar"/>
          <w14:textFill>
            <w14:solidFill>
              <w14:schemeClr w14:val="tx1"/>
            </w14:solidFill>
          </w14:textFill>
        </w:rPr>
        <w:t>2.根据《本科层次职业教育专业设置管理办法（试行）》（以下简称《办法》）的要求如实填报。</w:t>
      </w:r>
    </w:p>
    <w:p>
      <w:pPr>
        <w:ind w:firstLine="640" w:firstLineChars="200"/>
        <w:jc w:val="left"/>
        <w:rPr>
          <w:rFonts w:ascii="Times New Roman" w:hAnsi="Times New Roman" w:eastAsia="仿宋_GB2312" w:cs="Times New Roman"/>
          <w:color w:val="000000" w:themeColor="text1"/>
          <w:sz w:val="32"/>
          <w:szCs w:val="32"/>
          <w:lang w:bidi="ar"/>
          <w14:textFill>
            <w14:solidFill>
              <w14:schemeClr w14:val="tx1"/>
            </w14:solidFill>
          </w14:textFill>
        </w:rPr>
      </w:pPr>
      <w:r>
        <w:rPr>
          <w:rFonts w:ascii="Times New Roman" w:hAnsi="Times New Roman" w:eastAsia="仿宋_GB2312" w:cs="Times New Roman"/>
          <w:color w:val="000000" w:themeColor="text1"/>
          <w:sz w:val="32"/>
          <w:szCs w:val="32"/>
          <w:lang w:bidi="ar"/>
          <w14:textFill>
            <w14:solidFill>
              <w14:schemeClr w14:val="tx1"/>
            </w14:solidFill>
          </w14:textFill>
        </w:rPr>
        <w:t>3.表中所填内容要言简意赅，如有需要可另附报告，一个专业对应的报告单独一册，双面打印，单独装订。</w:t>
      </w:r>
    </w:p>
    <w:p>
      <w:pPr>
        <w:ind w:firstLine="640" w:firstLineChars="200"/>
        <w:jc w:val="left"/>
        <w:rPr>
          <w:rFonts w:ascii="Times New Roman" w:hAnsi="Times New Roman" w:eastAsia="仿宋_GB2312" w:cs="Times New Roman"/>
          <w:color w:val="000000" w:themeColor="text1"/>
          <w:sz w:val="32"/>
          <w:szCs w:val="32"/>
          <w:lang w:bidi="ar"/>
          <w14:textFill>
            <w14:solidFill>
              <w14:schemeClr w14:val="tx1"/>
            </w14:solidFill>
          </w14:textFill>
        </w:rPr>
      </w:pPr>
      <w:r>
        <w:rPr>
          <w:rFonts w:ascii="Times New Roman" w:hAnsi="Times New Roman" w:eastAsia="仿宋_GB2312" w:cs="Times New Roman"/>
          <w:color w:val="000000" w:themeColor="text1"/>
          <w:sz w:val="32"/>
          <w:szCs w:val="32"/>
          <w:lang w:bidi="ar"/>
          <w14:textFill>
            <w14:solidFill>
              <w14:schemeClr w14:val="tx1"/>
            </w14:solidFill>
          </w14:textFill>
        </w:rPr>
        <w:t>4.学校承诺本表所填师资、办学条件等基本情况真实、准确，如有虚假，一经发现，严肃处理。</w:t>
      </w:r>
    </w:p>
    <w:p>
      <w:pPr>
        <w:widowControl/>
        <w:overflowPunct w:val="0"/>
        <w:adjustRightInd w:val="0"/>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p>
    <w:p>
      <w:pPr>
        <w:widowControl/>
        <w:overflowPunct w:val="0"/>
        <w:adjustRightInd w:val="0"/>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p>
    <w:p>
      <w:pPr>
        <w:widowControl/>
        <w:overflowPunct w:val="0"/>
        <w:adjustRightInd w:val="0"/>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p>
    <w:p>
      <w:pPr>
        <w:jc w:val="center"/>
        <w:rPr>
          <w:rFonts w:ascii="Times New Roman" w:hAnsi="Times New Roman" w:eastAsia="楷体_GB2312" w:cs="Times New Roman"/>
          <w:color w:val="000000" w:themeColor="text1"/>
          <w:sz w:val="36"/>
          <w:szCs w:val="24"/>
          <w14:textFill>
            <w14:solidFill>
              <w14:schemeClr w14:val="tx1"/>
            </w14:solidFill>
          </w14:textFill>
        </w:rPr>
      </w:pPr>
    </w:p>
    <w:p>
      <w:pPr>
        <w:jc w:val="center"/>
        <w:rPr>
          <w:rFonts w:ascii="Times New Roman" w:hAnsi="Times New Roman" w:eastAsia="楷体_GB2312" w:cs="Times New Roman"/>
          <w:color w:val="000000" w:themeColor="text1"/>
          <w:sz w:val="36"/>
          <w:szCs w:val="24"/>
          <w14:textFill>
            <w14:solidFill>
              <w14:schemeClr w14:val="tx1"/>
            </w14:solidFill>
          </w14:textFill>
        </w:rPr>
      </w:pPr>
    </w:p>
    <w:p>
      <w:pPr>
        <w:jc w:val="center"/>
        <w:rPr>
          <w:rFonts w:ascii="Times New Roman" w:hAnsi="Times New Roman" w:eastAsia="楷体_GB2312" w:cs="Times New Roman"/>
          <w:color w:val="000000" w:themeColor="text1"/>
          <w:sz w:val="36"/>
          <w:szCs w:val="24"/>
          <w14:textFill>
            <w14:solidFill>
              <w14:schemeClr w14:val="tx1"/>
            </w14:solidFill>
          </w14:textFill>
        </w:rPr>
      </w:pPr>
    </w:p>
    <w:p>
      <w:pPr>
        <w:jc w:val="center"/>
        <w:rPr>
          <w:rFonts w:ascii="Times New Roman" w:hAnsi="Times New Roman" w:eastAsia="楷体_GB2312" w:cs="Times New Roman"/>
          <w:color w:val="000000" w:themeColor="text1"/>
          <w:sz w:val="36"/>
          <w:szCs w:val="24"/>
          <w14:textFill>
            <w14:solidFill>
              <w14:schemeClr w14:val="tx1"/>
            </w14:solidFill>
          </w14:textFill>
        </w:rPr>
      </w:pPr>
    </w:p>
    <w:p>
      <w:pPr>
        <w:jc w:val="center"/>
        <w:rPr>
          <w:rFonts w:ascii="Times New Roman" w:hAnsi="Times New Roman" w:eastAsia="楷体_GB2312" w:cs="Times New Roman"/>
          <w:color w:val="000000" w:themeColor="text1"/>
          <w:sz w:val="36"/>
          <w:szCs w:val="24"/>
          <w14:textFill>
            <w14:solidFill>
              <w14:schemeClr w14:val="tx1"/>
            </w14:solidFill>
          </w14:textFill>
        </w:rPr>
      </w:pPr>
    </w:p>
    <w:p>
      <w:pPr>
        <w:jc w:val="center"/>
        <w:rPr>
          <w:rFonts w:ascii="Times New Roman" w:hAnsi="Times New Roman" w:eastAsia="楷体_GB2312" w:cs="Times New Roman"/>
          <w:color w:val="000000" w:themeColor="text1"/>
          <w:sz w:val="36"/>
          <w:szCs w:val="24"/>
          <w14:textFill>
            <w14:solidFill>
              <w14:schemeClr w14:val="tx1"/>
            </w14:solidFill>
          </w14:textFill>
        </w:rPr>
      </w:pPr>
    </w:p>
    <w:p>
      <w:pPr>
        <w:jc w:val="center"/>
        <w:rPr>
          <w:rFonts w:ascii="Times New Roman" w:hAnsi="Times New Roman" w:eastAsia="楷体_GB2312" w:cs="Times New Roman"/>
          <w:color w:val="000000" w:themeColor="text1"/>
          <w:sz w:val="36"/>
          <w:szCs w:val="24"/>
          <w14:textFill>
            <w14:solidFill>
              <w14:schemeClr w14:val="tx1"/>
            </w14:solidFill>
          </w14:textFill>
        </w:rPr>
      </w:pPr>
    </w:p>
    <w:p>
      <w:pPr>
        <w:snapToGrid w:val="0"/>
        <w:jc w:val="center"/>
        <w:rPr>
          <w:rFonts w:ascii="Times New Roman" w:hAnsi="Times New Roman" w:eastAsia="方正仿宋简体" w:cs="Times New Roman"/>
          <w:color w:val="000000" w:themeColor="text1"/>
          <w:sz w:val="24"/>
          <w:szCs w:val="24"/>
          <w14:textFill>
            <w14:solidFill>
              <w14:schemeClr w14:val="tx1"/>
            </w14:solidFill>
          </w14:textFill>
        </w:rPr>
        <w:sectPr>
          <w:pgSz w:w="11906" w:h="16838"/>
          <w:pgMar w:top="1440" w:right="1803" w:bottom="1440" w:left="1803" w:header="851" w:footer="850" w:gutter="0"/>
          <w:cols w:space="720" w:num="1"/>
          <w:titlePg/>
          <w:docGrid w:type="lines" w:linePitch="579" w:charSpace="21679"/>
        </w:sectPr>
      </w:pPr>
    </w:p>
    <w:tbl>
      <w:tblPr>
        <w:tblStyle w:val="9"/>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
        <w:gridCol w:w="1801"/>
        <w:gridCol w:w="1606"/>
        <w:gridCol w:w="2646"/>
        <w:gridCol w:w="1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jc w:val="center"/>
        </w:trPr>
        <w:tc>
          <w:tcPr>
            <w:tcW w:w="8732" w:type="dxa"/>
            <w:gridSpan w:val="5"/>
            <w:vAlign w:val="center"/>
          </w:tcPr>
          <w:p>
            <w:pPr>
              <w:snapToGrid w:val="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b/>
                <w:bCs/>
                <w:color w:val="000000" w:themeColor="text1"/>
                <w:sz w:val="24"/>
                <w:szCs w:val="24"/>
                <w14:textFill>
                  <w14:solidFill>
                    <w14:schemeClr w14:val="tx1"/>
                  </w14:solidFill>
                </w14:textFill>
              </w:rPr>
              <w:t>拟招生专业基本情况：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2689" w:type="dxa"/>
            <w:gridSpan w:val="2"/>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拟招生专业名称</w:t>
            </w:r>
          </w:p>
        </w:tc>
        <w:tc>
          <w:tcPr>
            <w:tcW w:w="1606"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智能</w:t>
            </w:r>
            <w:r>
              <w:rPr>
                <w:rFonts w:hint="eastAsia" w:ascii="Times New Roman" w:hAnsi="Times New Roman" w:eastAsia="仿宋_GB2312" w:cs="Times New Roman"/>
                <w:color w:val="000000" w:themeColor="text1"/>
                <w:sz w:val="24"/>
                <w:szCs w:val="24"/>
                <w14:textFill>
                  <w14:solidFill>
                    <w14:schemeClr w14:val="tx1"/>
                  </w14:solidFill>
                </w14:textFill>
              </w:rPr>
              <w:t>控制</w:t>
            </w:r>
            <w:r>
              <w:rPr>
                <w:rFonts w:ascii="Times New Roman" w:hAnsi="Times New Roman" w:eastAsia="仿宋_GB2312" w:cs="Times New Roman"/>
                <w:color w:val="000000" w:themeColor="text1"/>
                <w:sz w:val="24"/>
                <w:szCs w:val="24"/>
                <w14:textFill>
                  <w14:solidFill>
                    <w14:schemeClr w14:val="tx1"/>
                  </w14:solidFill>
                </w14:textFill>
              </w:rPr>
              <w:t>技术</w:t>
            </w:r>
          </w:p>
        </w:tc>
        <w:tc>
          <w:tcPr>
            <w:tcW w:w="2646"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专业代码</w:t>
            </w:r>
          </w:p>
        </w:tc>
        <w:tc>
          <w:tcPr>
            <w:tcW w:w="1791"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r>
              <w:rPr>
                <w:rFonts w:ascii="Times New Roman" w:hAnsi="Times New Roman" w:eastAsia="仿宋_GB2312" w:cs="Times New Roman"/>
                <w:color w:val="000000" w:themeColor="text1"/>
                <w:sz w:val="24"/>
                <w:szCs w:val="24"/>
                <w14:textFill>
                  <w14:solidFill>
                    <w14:schemeClr w14:val="tx1"/>
                  </w14:solidFill>
                </w14:textFill>
              </w:rPr>
              <w:t>60303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689" w:type="dxa"/>
            <w:gridSpan w:val="2"/>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办学性质</w:t>
            </w:r>
          </w:p>
        </w:tc>
        <w:tc>
          <w:tcPr>
            <w:tcW w:w="1606"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公办</w:t>
            </w:r>
          </w:p>
        </w:tc>
        <w:tc>
          <w:tcPr>
            <w:tcW w:w="2646"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学位授予学科门类</w:t>
            </w:r>
          </w:p>
        </w:tc>
        <w:tc>
          <w:tcPr>
            <w:tcW w:w="1791"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689" w:type="dxa"/>
            <w:gridSpan w:val="2"/>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202</w:t>
            </w:r>
            <w:r>
              <w:rPr>
                <w:rFonts w:hint="eastAsia" w:ascii="Times New Roman" w:hAnsi="Times New Roman" w:eastAsia="仿宋_GB2312" w:cs="Times New Roman"/>
                <w:color w:val="000000" w:themeColor="text1"/>
                <w:sz w:val="24"/>
                <w:szCs w:val="24"/>
                <w14:textFill>
                  <w14:solidFill>
                    <w14:schemeClr w14:val="tx1"/>
                  </w14:solidFill>
                </w14:textFill>
              </w:rPr>
              <w:t>4</w:t>
            </w:r>
            <w:r>
              <w:rPr>
                <w:rFonts w:ascii="Times New Roman" w:hAnsi="Times New Roman" w:eastAsia="仿宋_GB2312" w:cs="Times New Roman"/>
                <w:color w:val="000000" w:themeColor="text1"/>
                <w:sz w:val="24"/>
                <w:szCs w:val="24"/>
                <w14:textFill>
                  <w14:solidFill>
                    <w14:schemeClr w14:val="tx1"/>
                  </w14:solidFill>
                </w14:textFill>
              </w:rPr>
              <w:t>年拟招生数（人）</w:t>
            </w:r>
          </w:p>
        </w:tc>
        <w:tc>
          <w:tcPr>
            <w:tcW w:w="1606"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50</w:t>
            </w:r>
          </w:p>
        </w:tc>
        <w:tc>
          <w:tcPr>
            <w:tcW w:w="2646"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学制</w:t>
            </w:r>
          </w:p>
        </w:tc>
        <w:tc>
          <w:tcPr>
            <w:tcW w:w="1791"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89" w:type="dxa"/>
            <w:gridSpan w:val="2"/>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总学时</w:t>
            </w:r>
          </w:p>
        </w:tc>
        <w:tc>
          <w:tcPr>
            <w:tcW w:w="1606"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1440</w:t>
            </w:r>
          </w:p>
        </w:tc>
        <w:tc>
          <w:tcPr>
            <w:tcW w:w="2646"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实践教学学时</w:t>
            </w:r>
          </w:p>
        </w:tc>
        <w:tc>
          <w:tcPr>
            <w:tcW w:w="1791"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jc w:val="center"/>
        </w:trPr>
        <w:tc>
          <w:tcPr>
            <w:tcW w:w="2689" w:type="dxa"/>
            <w:gridSpan w:val="2"/>
            <w:vAlign w:val="center"/>
          </w:tcPr>
          <w:p>
            <w:pPr>
              <w:snapToGrid w:val="0"/>
              <w:jc w:val="center"/>
              <w:rPr>
                <w:color w:val="000000" w:themeColor="text1"/>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实践教学学时占总学时的比例</w:t>
            </w:r>
          </w:p>
        </w:tc>
        <w:tc>
          <w:tcPr>
            <w:tcW w:w="1606"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56.99</w:t>
            </w:r>
          </w:p>
        </w:tc>
        <w:tc>
          <w:tcPr>
            <w:tcW w:w="2646" w:type="dxa"/>
            <w:vAlign w:val="center"/>
          </w:tcPr>
          <w:p>
            <w:pPr>
              <w:snapToGrid w:val="0"/>
              <w:jc w:val="center"/>
              <w:rPr>
                <w:color w:val="000000" w:themeColor="text1"/>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实验实训项目（任务）能够开出率（%）</w:t>
            </w:r>
          </w:p>
        </w:tc>
        <w:tc>
          <w:tcPr>
            <w:tcW w:w="1791"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r>
              <w:rPr>
                <w:rFonts w:ascii="Times New Roman" w:hAnsi="Times New Roman" w:eastAsia="仿宋_GB2312" w:cs="Times New Roman"/>
                <w:color w:val="000000" w:themeColor="text1"/>
                <w:sz w:val="24"/>
                <w:szCs w:val="24"/>
                <w14:textFill>
                  <w14:solidFill>
                    <w14:schemeClr w14:val="tx1"/>
                  </w14:solidFill>
                </w14:textFill>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jc w:val="center"/>
        </w:trPr>
        <w:tc>
          <w:tcPr>
            <w:tcW w:w="2689" w:type="dxa"/>
            <w:gridSpan w:val="2"/>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“双师型”教师</w:t>
            </w:r>
          </w:p>
          <w:p>
            <w:pPr>
              <w:snapToGrid w:val="0"/>
              <w:jc w:val="center"/>
              <w:rPr>
                <w:color w:val="000000" w:themeColor="text1"/>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占比（%）</w:t>
            </w:r>
          </w:p>
        </w:tc>
        <w:tc>
          <w:tcPr>
            <w:tcW w:w="1606"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69%</w:t>
            </w:r>
          </w:p>
        </w:tc>
        <w:tc>
          <w:tcPr>
            <w:tcW w:w="2646"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兼职教师数（人）</w:t>
            </w:r>
          </w:p>
        </w:tc>
        <w:tc>
          <w:tcPr>
            <w:tcW w:w="1791"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7" w:hRule="atLeast"/>
          <w:jc w:val="center"/>
        </w:trPr>
        <w:tc>
          <w:tcPr>
            <w:tcW w:w="2689" w:type="dxa"/>
            <w:gridSpan w:val="2"/>
            <w:vAlign w:val="center"/>
          </w:tcPr>
          <w:p>
            <w:pPr>
              <w:snapToGrid w:val="0"/>
              <w:jc w:val="center"/>
              <w:rPr>
                <w:color w:val="000000" w:themeColor="text1"/>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兼职教师计划承担的专业课授课学时占专业课总学时比例（%）</w:t>
            </w:r>
          </w:p>
        </w:tc>
        <w:tc>
          <w:tcPr>
            <w:tcW w:w="1606"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r>
              <w:rPr>
                <w:rFonts w:ascii="Times New Roman" w:hAnsi="Times New Roman" w:eastAsia="仿宋_GB2312" w:cs="Times New Roman"/>
                <w:color w:val="000000" w:themeColor="text1"/>
                <w:sz w:val="24"/>
                <w:szCs w:val="24"/>
                <w14:textFill>
                  <w14:solidFill>
                    <w14:schemeClr w14:val="tx1"/>
                  </w14:solidFill>
                </w14:textFill>
              </w:rPr>
              <w:t>5</w:t>
            </w:r>
          </w:p>
        </w:tc>
        <w:tc>
          <w:tcPr>
            <w:tcW w:w="2646"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是否有省级及以上教育行政部门等认定的高水平教师教学（科研）创新团队</w:t>
            </w:r>
          </w:p>
        </w:tc>
        <w:tc>
          <w:tcPr>
            <w:tcW w:w="1791"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7" w:hRule="atLeast"/>
          <w:jc w:val="center"/>
        </w:trPr>
        <w:tc>
          <w:tcPr>
            <w:tcW w:w="2689" w:type="dxa"/>
            <w:gridSpan w:val="2"/>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省级及以上教学名师数量（人）</w:t>
            </w:r>
          </w:p>
        </w:tc>
        <w:tc>
          <w:tcPr>
            <w:tcW w:w="1606"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2646"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省级及以上教学领域有关奖励数量（项）</w:t>
            </w:r>
          </w:p>
        </w:tc>
        <w:tc>
          <w:tcPr>
            <w:tcW w:w="1791"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r>
              <w:rPr>
                <w:rFonts w:ascii="Times New Roman" w:hAnsi="Times New Roman" w:eastAsia="仿宋_GB2312" w:cs="Times New Roman"/>
                <w:color w:val="000000" w:themeColor="text1"/>
                <w:sz w:val="24"/>
                <w:szCs w:val="24"/>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jc w:val="center"/>
        </w:trPr>
        <w:tc>
          <w:tcPr>
            <w:tcW w:w="2689" w:type="dxa"/>
            <w:gridSpan w:val="2"/>
            <w:vAlign w:val="center"/>
          </w:tcPr>
          <w:p>
            <w:pPr>
              <w:snapToGrid w:val="0"/>
              <w:jc w:val="center"/>
              <w:rPr>
                <w:color w:val="000000" w:themeColor="text1"/>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生均教学科研仪器设备值（万元）</w:t>
            </w:r>
          </w:p>
        </w:tc>
        <w:tc>
          <w:tcPr>
            <w:tcW w:w="1606"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2646"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是否有省级及以上技术研发推广平台</w:t>
            </w:r>
          </w:p>
        </w:tc>
        <w:tc>
          <w:tcPr>
            <w:tcW w:w="1791"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9" w:hRule="atLeast"/>
          <w:jc w:val="center"/>
        </w:trPr>
        <w:tc>
          <w:tcPr>
            <w:tcW w:w="8732" w:type="dxa"/>
            <w:gridSpan w:val="5"/>
            <w:tcBorders>
              <w:bottom w:val="single" w:color="000000" w:sz="4" w:space="0"/>
            </w:tcBorders>
            <w:vAlign w:val="center"/>
          </w:tcPr>
          <w:p>
            <w:pPr>
              <w:snapToGrid w:val="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b/>
                <w:bCs/>
                <w:color w:val="000000" w:themeColor="text1"/>
                <w:sz w:val="24"/>
                <w:szCs w:val="24"/>
                <w14:textFill>
                  <w14:solidFill>
                    <w14:schemeClr w14:val="tx1"/>
                  </w14:solidFill>
                </w14:textFill>
              </w:rPr>
              <w:t>所依托主要专业基本情况：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2689"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专业名称</w:t>
            </w:r>
          </w:p>
        </w:tc>
        <w:tc>
          <w:tcPr>
            <w:tcW w:w="160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机械设计制造及其自动化</w:t>
            </w:r>
          </w:p>
        </w:tc>
        <w:tc>
          <w:tcPr>
            <w:tcW w:w="264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专业代码</w:t>
            </w:r>
          </w:p>
        </w:tc>
        <w:tc>
          <w:tcPr>
            <w:tcW w:w="1791"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080202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jc w:val="center"/>
        </w:trPr>
        <w:tc>
          <w:tcPr>
            <w:tcW w:w="2689"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专业开设时间</w:t>
            </w:r>
          </w:p>
        </w:tc>
        <w:tc>
          <w:tcPr>
            <w:tcW w:w="160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r>
              <w:rPr>
                <w:rFonts w:ascii="Times New Roman" w:hAnsi="Times New Roman" w:eastAsia="仿宋_GB2312" w:cs="Times New Roman"/>
                <w:color w:val="000000" w:themeColor="text1"/>
                <w:sz w:val="24"/>
                <w:szCs w:val="24"/>
                <w14:textFill>
                  <w14:solidFill>
                    <w14:schemeClr w14:val="tx1"/>
                  </w14:solidFill>
                </w14:textFill>
              </w:rPr>
              <w:t>005</w:t>
            </w:r>
          </w:p>
        </w:tc>
        <w:tc>
          <w:tcPr>
            <w:tcW w:w="264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是否为省级以上</w:t>
            </w:r>
          </w:p>
          <w:p>
            <w:pPr>
              <w:snapToGrid w:val="0"/>
              <w:jc w:val="center"/>
              <w:rPr>
                <w:color w:val="000000" w:themeColor="text1"/>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重点（特色）专业</w:t>
            </w:r>
          </w:p>
        </w:tc>
        <w:tc>
          <w:tcPr>
            <w:tcW w:w="1791"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4" w:hRule="atLeast"/>
          <w:jc w:val="center"/>
        </w:trPr>
        <w:tc>
          <w:tcPr>
            <w:tcW w:w="2689"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本专业全日制</w:t>
            </w:r>
          </w:p>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在校生数（人）</w:t>
            </w:r>
          </w:p>
        </w:tc>
        <w:tc>
          <w:tcPr>
            <w:tcW w:w="160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3</w:t>
            </w:r>
            <w:r>
              <w:rPr>
                <w:rFonts w:ascii="Times New Roman" w:hAnsi="Times New Roman" w:eastAsia="仿宋_GB2312" w:cs="Times New Roman"/>
                <w:color w:val="000000" w:themeColor="text1"/>
                <w:sz w:val="24"/>
                <w:szCs w:val="24"/>
                <w14:textFill>
                  <w14:solidFill>
                    <w14:schemeClr w14:val="tx1"/>
                  </w14:solidFill>
                </w14:textFill>
              </w:rPr>
              <w:t>93</w:t>
            </w:r>
          </w:p>
        </w:tc>
        <w:tc>
          <w:tcPr>
            <w:tcW w:w="264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本专业专任教师</w:t>
            </w:r>
          </w:p>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数（人）</w:t>
            </w:r>
          </w:p>
        </w:tc>
        <w:tc>
          <w:tcPr>
            <w:tcW w:w="1791"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r>
              <w:rPr>
                <w:rFonts w:ascii="Times New Roman" w:hAnsi="Times New Roman" w:eastAsia="仿宋_GB2312" w:cs="Times New Roman"/>
                <w:color w:val="000000" w:themeColor="text1"/>
                <w:sz w:val="24"/>
                <w:szCs w:val="24"/>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2689"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专任教师与全日制</w:t>
            </w:r>
          </w:p>
          <w:p>
            <w:pPr>
              <w:snapToGrid w:val="0"/>
              <w:jc w:val="center"/>
              <w:rPr>
                <w:color w:val="000000" w:themeColor="text1"/>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在校生人数之比</w:t>
            </w:r>
          </w:p>
        </w:tc>
        <w:tc>
          <w:tcPr>
            <w:tcW w:w="160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1：14</w:t>
            </w:r>
          </w:p>
        </w:tc>
        <w:tc>
          <w:tcPr>
            <w:tcW w:w="264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高级职称专任教师</w:t>
            </w:r>
          </w:p>
          <w:p>
            <w:pPr>
              <w:snapToGrid w:val="0"/>
              <w:jc w:val="center"/>
              <w:rPr>
                <w:color w:val="000000" w:themeColor="text1"/>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比例（%）</w:t>
            </w:r>
          </w:p>
        </w:tc>
        <w:tc>
          <w:tcPr>
            <w:tcW w:w="1791"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2" w:hRule="atLeast"/>
          <w:jc w:val="center"/>
        </w:trPr>
        <w:tc>
          <w:tcPr>
            <w:tcW w:w="2689"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具有研究生学位</w:t>
            </w:r>
          </w:p>
          <w:p>
            <w:pPr>
              <w:snapToGrid w:val="0"/>
              <w:jc w:val="center"/>
              <w:rPr>
                <w:color w:val="000000" w:themeColor="text1"/>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专任教师比例（%）</w:t>
            </w:r>
          </w:p>
        </w:tc>
        <w:tc>
          <w:tcPr>
            <w:tcW w:w="160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89.7%</w:t>
            </w:r>
          </w:p>
        </w:tc>
        <w:tc>
          <w:tcPr>
            <w:tcW w:w="2646" w:type="dxa"/>
            <w:tcBorders>
              <w:top w:val="single" w:color="000000" w:sz="4" w:space="0"/>
              <w:left w:val="single" w:color="000000" w:sz="4" w:space="0"/>
              <w:bottom w:val="single" w:color="000000" w:sz="4" w:space="0"/>
              <w:right w:val="single" w:color="000000" w:sz="4" w:space="0"/>
            </w:tcBorders>
            <w:vAlign w:val="center"/>
          </w:tcPr>
          <w:p>
            <w:pPr>
              <w:snapToGrid w:val="0"/>
              <w:jc w:val="center"/>
              <w:rPr>
                <w:color w:val="000000" w:themeColor="text1"/>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具有博士研究生学位专任教师比例（%）</w:t>
            </w:r>
          </w:p>
        </w:tc>
        <w:tc>
          <w:tcPr>
            <w:tcW w:w="1791"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jc w:val="center"/>
        </w:trPr>
        <w:tc>
          <w:tcPr>
            <w:tcW w:w="2689"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202</w:t>
            </w:r>
            <w:r>
              <w:rPr>
                <w:rFonts w:hint="eastAsia" w:ascii="Times New Roman" w:hAnsi="Times New Roman" w:eastAsia="仿宋_GB2312" w:cs="Times New Roman"/>
                <w:color w:val="000000" w:themeColor="text1"/>
                <w:sz w:val="24"/>
                <w:szCs w:val="24"/>
                <w14:textFill>
                  <w14:solidFill>
                    <w14:schemeClr w14:val="tx1"/>
                  </w14:solidFill>
                </w14:textFill>
              </w:rPr>
              <w:t>3</w:t>
            </w:r>
            <w:r>
              <w:rPr>
                <w:rFonts w:ascii="Times New Roman" w:hAnsi="Times New Roman" w:eastAsia="仿宋_GB2312" w:cs="Times New Roman"/>
                <w:color w:val="000000" w:themeColor="text1"/>
                <w:sz w:val="24"/>
                <w:szCs w:val="24"/>
                <w14:textFill>
                  <w14:solidFill>
                    <w14:schemeClr w14:val="tx1"/>
                  </w14:solidFill>
                </w14:textFill>
              </w:rPr>
              <w:t>年度面向行业企业和社会开展职业</w:t>
            </w:r>
          </w:p>
          <w:p>
            <w:pPr>
              <w:snapToGrid w:val="0"/>
              <w:jc w:val="center"/>
              <w:rPr>
                <w:color w:val="000000" w:themeColor="text1"/>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培训人次</w:t>
            </w:r>
          </w:p>
        </w:tc>
        <w:tc>
          <w:tcPr>
            <w:tcW w:w="160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r>
              <w:rPr>
                <w:rFonts w:ascii="Times New Roman" w:hAnsi="Times New Roman" w:eastAsia="仿宋_GB2312" w:cs="Times New Roman"/>
                <w:color w:val="000000" w:themeColor="text1"/>
                <w:sz w:val="24"/>
                <w:szCs w:val="24"/>
                <w14:textFill>
                  <w14:solidFill>
                    <w14:schemeClr w14:val="tx1"/>
                  </w14:solidFill>
                </w14:textFill>
              </w:rPr>
              <w:t>000</w:t>
            </w:r>
          </w:p>
        </w:tc>
        <w:tc>
          <w:tcPr>
            <w:tcW w:w="264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202</w:t>
            </w:r>
            <w:r>
              <w:rPr>
                <w:rFonts w:hint="eastAsia" w:ascii="Times New Roman" w:hAnsi="Times New Roman" w:eastAsia="仿宋_GB2312" w:cs="Times New Roman"/>
                <w:color w:val="000000" w:themeColor="text1"/>
                <w:sz w:val="24"/>
                <w:szCs w:val="24"/>
                <w14:textFill>
                  <w14:solidFill>
                    <w14:schemeClr w14:val="tx1"/>
                  </w14:solidFill>
                </w14:textFill>
              </w:rPr>
              <w:t>3</w:t>
            </w:r>
            <w:r>
              <w:rPr>
                <w:rFonts w:ascii="Times New Roman" w:hAnsi="Times New Roman" w:eastAsia="仿宋_GB2312" w:cs="Times New Roman"/>
                <w:color w:val="000000" w:themeColor="text1"/>
                <w:sz w:val="24"/>
                <w:szCs w:val="24"/>
                <w14:textFill>
                  <w14:solidFill>
                    <w14:schemeClr w14:val="tx1"/>
                  </w14:solidFill>
                </w14:textFill>
              </w:rPr>
              <w:t>年度招生计划</w:t>
            </w:r>
          </w:p>
          <w:p>
            <w:pPr>
              <w:snapToGrid w:val="0"/>
              <w:jc w:val="center"/>
              <w:rPr>
                <w:color w:val="000000" w:themeColor="text1"/>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完成率（%）</w:t>
            </w:r>
          </w:p>
        </w:tc>
        <w:tc>
          <w:tcPr>
            <w:tcW w:w="1791"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r>
              <w:rPr>
                <w:rFonts w:ascii="Times New Roman" w:hAnsi="Times New Roman" w:eastAsia="仿宋_GB2312" w:cs="Times New Roman"/>
                <w:color w:val="000000" w:themeColor="text1"/>
                <w:sz w:val="24"/>
                <w:szCs w:val="24"/>
                <w14:textFill>
                  <w14:solidFill>
                    <w14:schemeClr w14:val="tx1"/>
                  </w14:solidFill>
                </w14:textFill>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jc w:val="center"/>
        </w:trPr>
        <w:tc>
          <w:tcPr>
            <w:tcW w:w="2689"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202</w:t>
            </w:r>
            <w:r>
              <w:rPr>
                <w:rFonts w:hint="eastAsia" w:ascii="Times New Roman" w:hAnsi="Times New Roman" w:eastAsia="仿宋_GB2312" w:cs="Times New Roman"/>
                <w:color w:val="000000" w:themeColor="text1"/>
                <w:sz w:val="24"/>
                <w:szCs w:val="24"/>
                <w14:textFill>
                  <w14:solidFill>
                    <w14:schemeClr w14:val="tx1"/>
                  </w14:solidFill>
                </w14:textFill>
              </w:rPr>
              <w:t>3</w:t>
            </w:r>
            <w:r>
              <w:rPr>
                <w:rFonts w:ascii="Times New Roman" w:hAnsi="Times New Roman" w:eastAsia="仿宋_GB2312" w:cs="Times New Roman"/>
                <w:color w:val="000000" w:themeColor="text1"/>
                <w:sz w:val="24"/>
                <w:szCs w:val="24"/>
                <w14:textFill>
                  <w14:solidFill>
                    <w14:schemeClr w14:val="tx1"/>
                  </w14:solidFill>
                </w14:textFill>
              </w:rPr>
              <w:t>年度新生</w:t>
            </w:r>
          </w:p>
          <w:p>
            <w:pPr>
              <w:snapToGrid w:val="0"/>
              <w:jc w:val="center"/>
              <w:rPr>
                <w:color w:val="000000" w:themeColor="text1"/>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报到率（%）</w:t>
            </w:r>
          </w:p>
        </w:tc>
        <w:tc>
          <w:tcPr>
            <w:tcW w:w="160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r>
              <w:rPr>
                <w:rFonts w:ascii="Times New Roman" w:hAnsi="Times New Roman" w:eastAsia="仿宋_GB2312" w:cs="Times New Roman"/>
                <w:color w:val="000000" w:themeColor="text1"/>
                <w:sz w:val="24"/>
                <w:szCs w:val="24"/>
                <w14:textFill>
                  <w14:solidFill>
                    <w14:schemeClr w14:val="tx1"/>
                  </w14:solidFill>
                </w14:textFill>
              </w:rPr>
              <w:t>00</w:t>
            </w:r>
          </w:p>
        </w:tc>
        <w:tc>
          <w:tcPr>
            <w:tcW w:w="264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202</w:t>
            </w:r>
            <w:r>
              <w:rPr>
                <w:rFonts w:hint="eastAsia" w:ascii="Times New Roman" w:hAnsi="Times New Roman" w:eastAsia="仿宋_GB2312" w:cs="Times New Roman"/>
                <w:color w:val="000000" w:themeColor="text1"/>
                <w:sz w:val="24"/>
                <w:szCs w:val="24"/>
                <w14:textFill>
                  <w14:solidFill>
                    <w14:schemeClr w14:val="tx1"/>
                  </w14:solidFill>
                </w14:textFill>
              </w:rPr>
              <w:t>3</w:t>
            </w:r>
            <w:r>
              <w:rPr>
                <w:rFonts w:ascii="Times New Roman" w:hAnsi="Times New Roman" w:eastAsia="仿宋_GB2312" w:cs="Times New Roman"/>
                <w:color w:val="000000" w:themeColor="text1"/>
                <w:sz w:val="24"/>
                <w:szCs w:val="24"/>
                <w14:textFill>
                  <w14:solidFill>
                    <w14:schemeClr w14:val="tx1"/>
                  </w14:solidFill>
                </w14:textFill>
              </w:rPr>
              <w:t>年度应届生</w:t>
            </w:r>
          </w:p>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就业率（%）</w:t>
            </w:r>
          </w:p>
        </w:tc>
        <w:tc>
          <w:tcPr>
            <w:tcW w:w="1791"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9</w:t>
            </w:r>
            <w:r>
              <w:rPr>
                <w:rFonts w:ascii="Times New Roman" w:hAnsi="Times New Roman" w:eastAsia="仿宋_GB2312" w:cs="Times New Roman"/>
                <w:color w:val="000000" w:themeColor="text1"/>
                <w:sz w:val="24"/>
                <w:szCs w:val="24"/>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15" w:hRule="atLeast"/>
          <w:jc w:val="center"/>
        </w:trPr>
        <w:tc>
          <w:tcPr>
            <w:tcW w:w="888" w:type="dxa"/>
            <w:vAlign w:val="center"/>
          </w:tcPr>
          <w:p>
            <w:pPr>
              <w:snapToGrid w:val="0"/>
              <w:jc w:val="center"/>
              <w:rPr>
                <w:rFonts w:ascii="Times New Roman" w:hAnsi="Times New Roman" w:eastAsia="方正仿宋简体"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position w:val="6"/>
                <w:sz w:val="24"/>
                <w:szCs w:val="24"/>
                <w14:textFill>
                  <w14:solidFill>
                    <w14:schemeClr w14:val="tx1"/>
                  </w14:solidFill>
                </w14:textFill>
              </w:rPr>
              <w:t>拟招生专业设置可行性</w:t>
            </w:r>
          </w:p>
        </w:tc>
        <w:tc>
          <w:tcPr>
            <w:tcW w:w="7844" w:type="dxa"/>
            <w:gridSpan w:val="4"/>
          </w:tcPr>
          <w:p>
            <w:pPr>
              <w:snapToGrid w:val="0"/>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可行性分析包括对行业企业的调研分析，对自身办学基础和专业特色的分析，对培养目标和培养规格的论证，有保障开设本专业可持续发展的</w:t>
            </w:r>
            <w:bookmarkStart w:id="0" w:name="_GoBack"/>
            <w:bookmarkEnd w:id="0"/>
            <w:r>
              <w:rPr>
                <w:rFonts w:ascii="Times New Roman" w:hAnsi="Times New Roman" w:eastAsia="仿宋_GB2312" w:cs="Times New Roman"/>
                <w:color w:val="000000" w:themeColor="text1"/>
                <w:szCs w:val="21"/>
                <w14:textFill>
                  <w14:solidFill>
                    <w14:schemeClr w14:val="tx1"/>
                  </w14:solidFill>
                </w14:textFill>
              </w:rPr>
              <w:t>规划和相关制度等。拟设置专业需与学校办学特色相契合，所依托专业应是省级及以上重点（特色）专业。字数在1000字以内，详细报告作为附件另附。</w:t>
            </w:r>
            <w:r>
              <w:rPr>
                <w:rFonts w:ascii="Times New Roman" w:hAnsi="Times New Roman" w:eastAsia="仿宋_GB2312" w:cs="Times New Roman"/>
                <w:color w:val="000000" w:themeColor="text1"/>
                <w:szCs w:val="21"/>
                <w14:textFill>
                  <w14:solidFill>
                    <w14:schemeClr w14:val="tx1"/>
                  </w14:solidFill>
                </w14:textFill>
              </w:rPr>
              <w:t>）</w:t>
            </w:r>
          </w:p>
          <w:p>
            <w:pPr>
              <w:widowControl/>
              <w:spacing w:line="300" w:lineRule="auto"/>
              <w:jc w:val="left"/>
              <w:rPr>
                <w:rFonts w:cs="微软雅黑" w:asciiTheme="minorEastAsia" w:hAnsiTheme="minorEastAsia"/>
                <w:b/>
                <w:bCs/>
                <w:color w:val="000000" w:themeColor="text1"/>
                <w:kern w:val="0"/>
                <w:sz w:val="24"/>
                <w:szCs w:val="24"/>
                <w14:textFill>
                  <w14:solidFill>
                    <w14:schemeClr w14:val="tx1"/>
                  </w14:solidFill>
                </w14:textFill>
              </w:rPr>
            </w:pPr>
            <w:r>
              <w:rPr>
                <w:rFonts w:hint="eastAsia" w:cs="微软雅黑" w:asciiTheme="minorEastAsia" w:hAnsiTheme="minorEastAsia"/>
                <w:b/>
                <w:bCs/>
                <w:color w:val="000000" w:themeColor="text1"/>
                <w:kern w:val="0"/>
                <w:sz w:val="24"/>
                <w:szCs w:val="24"/>
                <w14:textFill>
                  <w14:solidFill>
                    <w14:schemeClr w14:val="tx1"/>
                  </w14:solidFill>
                </w14:textFill>
              </w:rPr>
              <w:t>1.产业升级有需求</w:t>
            </w:r>
          </w:p>
          <w:p>
            <w:pPr>
              <w:pStyle w:val="8"/>
              <w:widowControl/>
              <w:spacing w:before="0" w:beforeAutospacing="0" w:after="0" w:afterAutospacing="0" w:line="360" w:lineRule="auto"/>
              <w:ind w:firstLine="373"/>
              <w:jc w:val="both"/>
              <w:rPr>
                <w:rFonts w:cs="微软雅黑" w:asciiTheme="minorEastAsia" w:hAnsiTheme="minorEastAsia"/>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我国产业经济发展正处于由“中国制造”到“中国创造”，“中国制造”升级为“优质制造”的关键阶段。产业结构的调整优化对高层次专业技能型人才的需求日益增长。</w:t>
            </w:r>
            <w:r>
              <w:rPr>
                <w:rFonts w:hint="eastAsia" w:cs="微软雅黑" w:asciiTheme="minorEastAsia" w:hAnsiTheme="minorEastAsia"/>
                <w:color w:val="000000" w:themeColor="text1"/>
                <w:szCs w:val="24"/>
                <w14:textFill>
                  <w14:solidFill>
                    <w14:schemeClr w14:val="tx1"/>
                  </w14:solidFill>
                </w14:textFill>
              </w:rPr>
              <w:t>浙江是传统制造业大省，新中国成立以后，浙江传统制造业持续较快增长，在推动经济跨越式发展过程中发挥了举足轻重的作用。2018年以来，浙江以“数字产业化、产业数字化”为主线，推动传统产业数字化转型。越来越多的制造业企业，依托人工智能、大数据和云计算等，发力智能制造。2022年，浙江传统制造业增加值1.77万亿元，占工业经济的比重为61.3%，占GDP的比重为22.8%。2023年浙江省政府出台《浙江省“415X”先进制造业集群建设行动方案(2023—2027年)》，明确将以高端化、智能化、绿色化、国际化为主攻方向。</w:t>
            </w:r>
          </w:p>
          <w:p>
            <w:pPr>
              <w:pStyle w:val="8"/>
              <w:widowControl/>
              <w:spacing w:before="0" w:beforeAutospacing="0" w:after="0" w:afterAutospacing="0" w:line="360" w:lineRule="auto"/>
              <w:ind w:firstLine="373"/>
              <w:jc w:val="both"/>
              <w:rPr>
                <w:rFonts w:cs="微软雅黑" w:asciiTheme="minorEastAsia" w:hAnsiTheme="minorEastAsia"/>
                <w:color w:val="000000" w:themeColor="text1"/>
                <w:szCs w:val="24"/>
                <w14:textFill>
                  <w14:solidFill>
                    <w14:schemeClr w14:val="tx1"/>
                  </w14:solidFill>
                </w14:textFill>
              </w:rPr>
            </w:pPr>
            <w:r>
              <w:rPr>
                <w:rFonts w:hint="eastAsia" w:cs="微软雅黑" w:asciiTheme="minorEastAsia" w:hAnsiTheme="minorEastAsia"/>
                <w:color w:val="000000" w:themeColor="text1"/>
                <w:szCs w:val="24"/>
                <w14:textFill>
                  <w14:solidFill>
                    <w14:schemeClr w14:val="tx1"/>
                  </w14:solidFill>
                </w14:textFill>
              </w:rPr>
              <w:t>丽水市“1315”特色产业链培育工程行动方案（2023—2027年）提出着力打造1个千亿级、3个五百亿级、15个以上县域特色百亿级产业链。地方行业必然按照“数字化生产线—数字化车间—智能工厂—未来工厂”的模式不断进行产业升级。为了契合产业转型升级，迫切需要建设智能控制技术职业本科专业。据人社部数据分析预测，2020年智能制造、控制领域人才需求为750万人，人才缺口300万人，智能制造人才需求以每年20%~30%的速度持续递增，到2025年，人才需求900万人，人才缺口450万人，就业前景广阔。根据《2021-2022年度丽水市紧缺人才开发导向目录》，丽水市精密制造产业非常紧缺的岗位有3</w:t>
            </w:r>
            <w:r>
              <w:rPr>
                <w:rFonts w:cs="微软雅黑" w:asciiTheme="minorEastAsia" w:hAnsiTheme="minorEastAsia"/>
                <w:color w:val="000000" w:themeColor="text1"/>
                <w:szCs w:val="24"/>
                <w14:textFill>
                  <w14:solidFill>
                    <w14:schemeClr w14:val="tx1"/>
                  </w14:solidFill>
                </w14:textFill>
              </w:rPr>
              <w:t>2个</w:t>
            </w:r>
            <w:r>
              <w:rPr>
                <w:rFonts w:hint="eastAsia" w:cs="微软雅黑" w:asciiTheme="minorEastAsia" w:hAnsiTheme="minorEastAsia"/>
                <w:color w:val="000000" w:themeColor="text1"/>
                <w:szCs w:val="24"/>
                <w14:textFill>
                  <w14:solidFill>
                    <w14:schemeClr w14:val="tx1"/>
                  </w14:solidFill>
                </w14:textFill>
              </w:rPr>
              <w:t>，</w:t>
            </w:r>
            <w:r>
              <w:rPr>
                <w:rFonts w:cs="微软雅黑" w:asciiTheme="minorEastAsia" w:hAnsiTheme="minorEastAsia"/>
                <w:color w:val="000000" w:themeColor="text1"/>
                <w:szCs w:val="24"/>
                <w14:textFill>
                  <w14:solidFill>
                    <w14:schemeClr w14:val="tx1"/>
                  </w14:solidFill>
                </w14:textFill>
              </w:rPr>
              <w:t>一般紧缺岗位</w:t>
            </w:r>
            <w:r>
              <w:rPr>
                <w:rFonts w:hint="eastAsia" w:cs="微软雅黑" w:asciiTheme="minorEastAsia" w:hAnsiTheme="minorEastAsia"/>
                <w:color w:val="000000" w:themeColor="text1"/>
                <w:szCs w:val="24"/>
                <w14:textFill>
                  <w14:solidFill>
                    <w14:schemeClr w14:val="tx1"/>
                  </w14:solidFill>
                </w14:textFill>
              </w:rPr>
              <w:t>1</w:t>
            </w:r>
            <w:r>
              <w:rPr>
                <w:rFonts w:cs="微软雅黑" w:asciiTheme="minorEastAsia" w:hAnsiTheme="minorEastAsia"/>
                <w:color w:val="000000" w:themeColor="text1"/>
                <w:szCs w:val="24"/>
                <w14:textFill>
                  <w14:solidFill>
                    <w14:schemeClr w14:val="tx1"/>
                  </w14:solidFill>
                </w14:textFill>
              </w:rPr>
              <w:t>1个</w:t>
            </w:r>
            <w:r>
              <w:rPr>
                <w:rFonts w:hint="eastAsia" w:cs="微软雅黑" w:asciiTheme="minorEastAsia" w:hAnsiTheme="minorEastAsia"/>
                <w:color w:val="000000" w:themeColor="text1"/>
                <w:szCs w:val="24"/>
                <w14:textFill>
                  <w14:solidFill>
                    <w14:schemeClr w14:val="tx1"/>
                  </w14:solidFill>
                </w14:textFill>
              </w:rPr>
              <w:t>，在生态工业的重点产业领域属于人才最为紧缺的产业。</w:t>
            </w:r>
          </w:p>
          <w:p>
            <w:pPr>
              <w:widowControl/>
              <w:spacing w:line="300" w:lineRule="auto"/>
              <w:jc w:val="left"/>
              <w:rPr>
                <w:rFonts w:cs="微软雅黑" w:asciiTheme="minorEastAsia" w:hAnsiTheme="minorEastAsia"/>
                <w:color w:val="000000" w:themeColor="text1"/>
                <w:szCs w:val="24"/>
                <w14:textFill>
                  <w14:solidFill>
                    <w14:schemeClr w14:val="tx1"/>
                  </w14:solidFill>
                </w14:textFill>
              </w:rPr>
            </w:pPr>
            <w:r>
              <w:rPr>
                <w:rFonts w:hint="eastAsia" w:cs="微软雅黑" w:asciiTheme="minorEastAsia" w:hAnsiTheme="minorEastAsia"/>
                <w:b/>
                <w:bCs/>
                <w:color w:val="000000" w:themeColor="text1"/>
                <w:kern w:val="0"/>
                <w:sz w:val="24"/>
                <w:szCs w:val="24"/>
                <w14:textFill>
                  <w14:solidFill>
                    <w14:schemeClr w14:val="tx1"/>
                  </w14:solidFill>
                </w14:textFill>
              </w:rPr>
              <w:t>2.专业办学有能力</w:t>
            </w:r>
          </w:p>
          <w:p>
            <w:pPr>
              <w:pStyle w:val="12"/>
              <w:spacing w:line="360" w:lineRule="auto"/>
              <w:ind w:firstLine="480" w:firstLineChars="200"/>
              <w:rPr>
                <w:rFonts w:cs="微软雅黑" w:asciiTheme="minorEastAsia" w:hAnsiTheme="minorEastAsia"/>
                <w:color w:val="000000" w:themeColor="text1"/>
                <w:kern w:val="0"/>
                <w:sz w:val="24"/>
                <w:szCs w:val="24"/>
                <w14:textFill>
                  <w14:solidFill>
                    <w14:schemeClr w14:val="tx1"/>
                  </w14:solidFill>
                </w14:textFill>
              </w:rPr>
            </w:pPr>
            <w:r>
              <w:rPr>
                <w:rFonts w:hint="eastAsia" w:cs="微软雅黑" w:asciiTheme="minorEastAsia" w:hAnsiTheme="minorEastAsia"/>
                <w:color w:val="000000" w:themeColor="text1"/>
                <w:kern w:val="0"/>
                <w:sz w:val="24"/>
                <w:szCs w:val="24"/>
                <w14:textFill>
                  <w14:solidFill>
                    <w14:schemeClr w14:val="tx1"/>
                  </w14:solidFill>
                </w14:textFill>
              </w:rPr>
              <w:t>丽水学院联合丽水经济技术开发区、丽水滚动功能部件行业协会、地方龙头企业四方谋划，依托浙江省一流专业、浙江省新兴特色专业机械设计制造及其自动化专业共同创建智能控制技术职业本科专业，为丽水市精密制造等特色主导产业链转型升级提高人才保证。丽水学院机械设计制造及其自动化专业拥有机械工程省级一流学科、“特色文创产品数字化设计与智能制造”省级重点实验室、机械工程省级重点实验教学示范中心、省级校外实践教育基地和丽水滚动功能部件产业学院、丽水市轴承导轨创新平台、中德（丽水）跨企业培训中心等平台。</w:t>
            </w:r>
            <w:r>
              <w:rPr>
                <w:rFonts w:hint="eastAsia" w:ascii="宋体" w:hAnsi="宋体" w:eastAsia="宋体" w:cs="宋体"/>
                <w:bCs/>
                <w:color w:val="000000" w:themeColor="text1"/>
                <w:kern w:val="0"/>
                <w:sz w:val="24"/>
                <w:szCs w:val="24"/>
                <w:lang w:bidi="zh-CN"/>
                <w14:textFill>
                  <w14:solidFill>
                    <w14:schemeClr w14:val="tx1"/>
                  </w14:solidFill>
                </w14:textFill>
              </w:rPr>
              <w:t>与100多家行业</w:t>
            </w:r>
            <w:r>
              <w:rPr>
                <w:rFonts w:hint="eastAsia" w:ascii="宋体" w:hAnsi="宋体" w:eastAsia="宋体" w:cs="宋体"/>
                <w:bCs/>
                <w:color w:val="000000" w:themeColor="text1"/>
                <w:kern w:val="0"/>
                <w:sz w:val="24"/>
                <w:szCs w:val="24"/>
                <w:lang w:val="zh-CN" w:bidi="zh-CN"/>
                <w14:textFill>
                  <w14:solidFill>
                    <w14:schemeClr w14:val="tx1"/>
                  </w14:solidFill>
                </w14:textFill>
              </w:rPr>
              <w:t>龙头企业开展“订单班”、“双主体育人”、“现代学徒制”等形式的校企联合人才培养。</w:t>
            </w:r>
            <w:r>
              <w:rPr>
                <w:rFonts w:hint="eastAsia" w:ascii="宋体" w:hAnsi="宋体" w:eastAsia="宋体" w:cs="宋体"/>
                <w:bCs/>
                <w:color w:val="000000" w:themeColor="text1"/>
                <w:kern w:val="0"/>
                <w:sz w:val="24"/>
                <w:szCs w:val="24"/>
                <w:lang w:bidi="zh-CN"/>
                <w14:textFill>
                  <w14:solidFill>
                    <w14:schemeClr w14:val="tx1"/>
                  </w14:solidFill>
                </w14:textFill>
              </w:rPr>
              <w:t>坚持服务地方产业，校企共建省级企业研究院（中心）5家，研发中心10家。近五年科技到款额一亿多万元，授权发明专利100余项。</w:t>
            </w:r>
            <w:r>
              <w:rPr>
                <w:rFonts w:hint="eastAsia" w:ascii="宋体" w:hAnsi="宋体" w:eastAsia="宋体" w:cs="宋体"/>
                <w:bCs/>
                <w:color w:val="000000" w:themeColor="text1"/>
                <w:kern w:val="0"/>
                <w:sz w:val="24"/>
                <w:szCs w:val="24"/>
                <w:lang w:val="zh-CN" w:bidi="zh-CN"/>
                <w14:textFill>
                  <w14:solidFill>
                    <w14:schemeClr w14:val="tx1"/>
                  </w14:solidFill>
                </w14:textFill>
              </w:rPr>
              <w:t>与缙云壶镇4家企业建立的特色机电装备实践大学生校外实践基地成为省级基地。此外，新建了浙江省航空航天金属导管塑性成形技术与装备重点实验室等省、市级科研平台4个，创新联合体2个。</w:t>
            </w:r>
          </w:p>
          <w:p>
            <w:pPr>
              <w:pStyle w:val="12"/>
              <w:rPr>
                <w:rFonts w:cs="微软雅黑" w:asciiTheme="minorEastAsia" w:hAnsiTheme="minorEastAsia"/>
                <w:b/>
                <w:bCs/>
                <w:color w:val="000000" w:themeColor="text1"/>
                <w:kern w:val="0"/>
                <w:sz w:val="24"/>
                <w:szCs w:val="24"/>
                <w14:textFill>
                  <w14:solidFill>
                    <w14:schemeClr w14:val="tx1"/>
                  </w14:solidFill>
                </w14:textFill>
              </w:rPr>
            </w:pPr>
            <w:r>
              <w:rPr>
                <w:rFonts w:hint="eastAsia" w:cs="微软雅黑" w:asciiTheme="minorEastAsia" w:hAnsiTheme="minorEastAsia"/>
                <w:b/>
                <w:bCs/>
                <w:color w:val="000000" w:themeColor="text1"/>
                <w:kern w:val="0"/>
                <w:sz w:val="24"/>
                <w:szCs w:val="24"/>
                <w14:textFill>
                  <w14:solidFill>
                    <w14:schemeClr w14:val="tx1"/>
                  </w14:solidFill>
                </w14:textFill>
              </w:rPr>
              <w:t>3.培养目标有论证</w:t>
            </w:r>
          </w:p>
          <w:p>
            <w:pPr>
              <w:pStyle w:val="12"/>
              <w:spacing w:line="360" w:lineRule="auto"/>
              <w:ind w:firstLine="480" w:firstLineChars="200"/>
              <w:rPr>
                <w:rFonts w:cs="微软雅黑" w:asciiTheme="minorEastAsia" w:hAnsiTheme="minorEastAsia"/>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lang w:bidi="zh-CN"/>
                <w14:textFill>
                  <w14:solidFill>
                    <w14:schemeClr w14:val="tx1"/>
                  </w14:solidFill>
                </w14:textFill>
              </w:rPr>
              <w:t>在企业调研、院校交流学习的基础上，校企双方按照教育部印发的《本科层次职业教育专业设置管理办法（试行）》，就人才培养目标规格、人才培养模式、专业设置和结构、教学内容和方法等方面进行了切实合理的讨论研究与论证。并针对智能控制技术专业的特色、课程结构、课时安排等情况进行了科学合理的分配和布局。智能控制技术专业面向地方制造业转型升级，培养“电气控制+复杂大型综合自动化生产线”的技改与研发、装调与维护，以及产品质量控制方面的高端技能型人才。精准对接地方精密制造产业集群发展战略，引领制造业转型升级。</w:t>
            </w:r>
          </w:p>
          <w:p>
            <w:pPr>
              <w:pStyle w:val="12"/>
              <w:rPr>
                <w:rFonts w:ascii="宋体" w:hAnsi="宋体" w:eastAsia="宋体" w:cs="宋体"/>
                <w:bCs/>
                <w:color w:val="000000" w:themeColor="text1"/>
                <w:kern w:val="0"/>
                <w:sz w:val="24"/>
                <w:szCs w:val="24"/>
                <w:lang w:bidi="zh-CN"/>
                <w14:textFill>
                  <w14:solidFill>
                    <w14:schemeClr w14:val="tx1"/>
                  </w14:solidFill>
                </w14:textFill>
              </w:rPr>
            </w:pPr>
            <w:r>
              <w:rPr>
                <w:rFonts w:hint="eastAsia" w:cs="微软雅黑" w:asciiTheme="minorEastAsia" w:hAnsiTheme="minorEastAsia"/>
                <w:b/>
                <w:bCs/>
                <w:color w:val="000000" w:themeColor="text1"/>
                <w:kern w:val="0"/>
                <w:sz w:val="24"/>
                <w:szCs w:val="24"/>
                <w14:textFill>
                  <w14:solidFill>
                    <w14:schemeClr w14:val="tx1"/>
                  </w14:solidFill>
                </w14:textFill>
              </w:rPr>
              <w:t>4.专业发展有保障</w:t>
            </w:r>
          </w:p>
          <w:p>
            <w:pPr>
              <w:pStyle w:val="12"/>
              <w:spacing w:line="360" w:lineRule="auto"/>
              <w:ind w:firstLine="480" w:firstLineChars="200"/>
              <w:rPr>
                <w:color w:val="000000" w:themeColor="text1"/>
                <w14:textFill>
                  <w14:solidFill>
                    <w14:schemeClr w14:val="tx1"/>
                  </w14:solidFill>
                </w14:textFill>
              </w:rPr>
            </w:pPr>
            <w:r>
              <w:rPr>
                <w:rFonts w:hint="eastAsia" w:ascii="宋体" w:hAnsi="宋体" w:eastAsia="宋体" w:cs="宋体"/>
                <w:bCs/>
                <w:color w:val="000000" w:themeColor="text1"/>
                <w:kern w:val="0"/>
                <w:sz w:val="24"/>
                <w:szCs w:val="24"/>
                <w:lang w:val="zh-CN" w:bidi="zh-CN"/>
                <w14:textFill>
                  <w14:solidFill>
                    <w14:schemeClr w14:val="tx1"/>
                  </w14:solidFill>
                </w14:textFill>
              </w:rPr>
              <w:t>我</w:t>
            </w:r>
            <w:r>
              <w:rPr>
                <w:rFonts w:hint="eastAsia" w:ascii="宋体" w:hAnsi="宋体" w:eastAsia="宋体" w:cs="宋体"/>
                <w:bCs/>
                <w:color w:val="000000" w:themeColor="text1"/>
                <w:kern w:val="0"/>
                <w:sz w:val="24"/>
                <w:szCs w:val="24"/>
                <w:lang w:bidi="zh-CN"/>
                <w14:textFill>
                  <w14:solidFill>
                    <w14:schemeClr w14:val="tx1"/>
                  </w14:solidFill>
                </w14:textFill>
              </w:rPr>
              <w:t>校出台了</w:t>
            </w:r>
            <w:r>
              <w:rPr>
                <w:rFonts w:hint="eastAsia" w:ascii="宋体" w:hAnsi="宋体" w:eastAsia="宋体" w:cs="宋体"/>
                <w:bCs/>
                <w:color w:val="000000" w:themeColor="text1"/>
                <w:kern w:val="0"/>
                <w:sz w:val="24"/>
                <w:szCs w:val="24"/>
                <w:lang w:val="zh-CN" w:bidi="zh-CN"/>
                <w14:textFill>
                  <w14:solidFill>
                    <w14:schemeClr w14:val="tx1"/>
                  </w14:solidFill>
                </w14:textFill>
              </w:rPr>
              <w:t>《智能制造专业群建设方案(2020-2025年)》、《丽水学院“十四五”发展规划》等</w:t>
            </w:r>
            <w:r>
              <w:rPr>
                <w:rFonts w:hint="eastAsia" w:ascii="宋体" w:hAnsi="宋体" w:eastAsia="宋体" w:cs="宋体"/>
                <w:bCs/>
                <w:color w:val="000000" w:themeColor="text1"/>
                <w:kern w:val="0"/>
                <w:sz w:val="24"/>
                <w:szCs w:val="24"/>
                <w:lang w:bidi="zh-CN"/>
                <w14:textFill>
                  <w14:solidFill>
                    <w14:schemeClr w14:val="tx1"/>
                  </w14:solidFill>
                </w14:textFill>
              </w:rPr>
              <w:t>政策</w:t>
            </w:r>
            <w:r>
              <w:rPr>
                <w:rFonts w:hint="eastAsia" w:ascii="宋体" w:hAnsi="宋体" w:eastAsia="宋体" w:cs="宋体"/>
                <w:bCs/>
                <w:color w:val="000000" w:themeColor="text1"/>
                <w:kern w:val="0"/>
                <w:sz w:val="24"/>
                <w:szCs w:val="24"/>
                <w:lang w:val="zh-CN" w:bidi="zh-CN"/>
                <w14:textFill>
                  <w14:solidFill>
                    <w14:schemeClr w14:val="tx1"/>
                  </w14:solidFill>
                </w14:textFill>
              </w:rPr>
              <w:t>，完善了</w:t>
            </w:r>
            <w:r>
              <w:rPr>
                <w:rFonts w:hint="eastAsia" w:ascii="宋体" w:hAnsi="宋体" w:eastAsia="宋体" w:cs="宋体"/>
                <w:bCs/>
                <w:color w:val="000000" w:themeColor="text1"/>
                <w:kern w:val="0"/>
                <w:sz w:val="24"/>
                <w:szCs w:val="24"/>
                <w:lang w:bidi="zh-CN"/>
                <w14:textFill>
                  <w14:solidFill>
                    <w14:schemeClr w14:val="tx1"/>
                  </w14:solidFill>
                </w14:textFill>
              </w:rPr>
              <w:t>智能控制职业本科</w:t>
            </w:r>
            <w:r>
              <w:rPr>
                <w:rFonts w:hint="eastAsia" w:ascii="宋体" w:hAnsi="宋体" w:eastAsia="宋体" w:cs="宋体"/>
                <w:bCs/>
                <w:color w:val="000000" w:themeColor="text1"/>
                <w:kern w:val="0"/>
                <w:sz w:val="24"/>
                <w:szCs w:val="24"/>
                <w:lang w:val="zh-CN" w:bidi="zh-CN"/>
                <w14:textFill>
                  <w14:solidFill>
                    <w14:schemeClr w14:val="tx1"/>
                  </w14:solidFill>
                </w14:textFill>
              </w:rPr>
              <w:t>工作制度和工作规范，制定工作标准和管理规范。组建智能</w:t>
            </w:r>
            <w:r>
              <w:rPr>
                <w:rFonts w:hint="eastAsia" w:ascii="宋体" w:hAnsi="宋体" w:eastAsia="宋体" w:cs="宋体"/>
                <w:bCs/>
                <w:color w:val="000000" w:themeColor="text1"/>
                <w:kern w:val="0"/>
                <w:sz w:val="24"/>
                <w:szCs w:val="24"/>
                <w:lang w:bidi="zh-CN"/>
                <w14:textFill>
                  <w14:solidFill>
                    <w14:schemeClr w14:val="tx1"/>
                  </w14:solidFill>
                </w14:textFill>
              </w:rPr>
              <w:t>控制技术专业</w:t>
            </w:r>
            <w:r>
              <w:rPr>
                <w:rFonts w:hint="eastAsia" w:ascii="宋体" w:hAnsi="宋体" w:eastAsia="宋体" w:cs="宋体"/>
                <w:bCs/>
                <w:color w:val="000000" w:themeColor="text1"/>
                <w:kern w:val="0"/>
                <w:sz w:val="24"/>
                <w:szCs w:val="24"/>
                <w:lang w:val="zh-CN" w:bidi="zh-CN"/>
                <w14:textFill>
                  <w14:solidFill>
                    <w14:schemeClr w14:val="tx1"/>
                  </w14:solidFill>
                </w14:textFill>
              </w:rPr>
              <w:t>职业本科建设指导委员会，制定专业群建设指导委员会章程，根据行业的现状和发展趋势，就校企合作人才培养提出专业建议，参与课程体系、教学内容、教学模式、顶岗实习、实训基地等方面建设工作，保障了智能控制技术专业可持续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5" w:hRule="atLeast"/>
          <w:jc w:val="center"/>
        </w:trPr>
        <w:tc>
          <w:tcPr>
            <w:tcW w:w="888"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教师队伍</w:t>
            </w:r>
          </w:p>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情况要点</w:t>
            </w:r>
          </w:p>
        </w:tc>
        <w:tc>
          <w:tcPr>
            <w:tcW w:w="7844" w:type="dxa"/>
            <w:gridSpan w:val="4"/>
          </w:tcPr>
          <w:p>
            <w:pPr>
              <w:snapToGrid w:val="0"/>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（对应《办法》第十条填写，不超过800字）</w:t>
            </w:r>
          </w:p>
          <w:p>
            <w:pPr>
              <w:snapToGrid w:val="0"/>
              <w:jc w:val="left"/>
              <w:rPr>
                <w:rFonts w:ascii="Times New Roman" w:hAnsi="Times New Roman" w:eastAsia="方正仿宋简体"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（办法</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 xml:space="preserve"> </w:t>
            </w:r>
            <w:r>
              <w:rPr>
                <w:rFonts w:hint="eastAsia" w:ascii="Times New Roman" w:hAnsi="Times New Roman" w:eastAsia="仿宋_GB2312" w:cs="Times New Roman"/>
                <w:color w:val="000000" w:themeColor="text1"/>
                <w:szCs w:val="21"/>
                <w14:textFill>
                  <w14:solidFill>
                    <w14:schemeClr w14:val="tx1"/>
                  </w14:solidFill>
                </w14:textFill>
              </w:rPr>
              <w:t>第十条 设置本科层次职业教育专业须有完成专业人才培养所必需的教师队伍，具体应具备以下条件：</w:t>
            </w:r>
            <w:r>
              <w:rPr>
                <w:rFonts w:hint="eastAsia" w:ascii="Times New Roman" w:hAnsi="Times New Roman" w:eastAsia="仿宋_GB2312" w:cs="Times New Roman"/>
                <w:color w:val="000000" w:themeColor="text1"/>
                <w:szCs w:val="21"/>
                <w14:textFill>
                  <w14:solidFill>
                    <w14:schemeClr w14:val="tx1"/>
                  </w14:solidFill>
                </w14:textFill>
              </w:rPr>
              <w:cr/>
            </w:r>
            <w:r>
              <w:rPr>
                <w:rFonts w:hint="eastAsia" w:ascii="Times New Roman" w:hAnsi="Times New Roman" w:eastAsia="仿宋_GB2312" w:cs="Times New Roman"/>
                <w:color w:val="000000" w:themeColor="text1"/>
                <w:szCs w:val="21"/>
                <w14:textFill>
                  <w14:solidFill>
                    <w14:schemeClr w14:val="tx1"/>
                  </w14:solidFill>
                </w14:textFill>
              </w:rPr>
              <w:t>（一）全校师生比不低于1:18；所依托专业专任教师与该专业全日制在校生人数之比不低于1:20，高级职称专任教师比例不低于30%，具有研究生学位专任教师比例不低于50%，具有博士研究生学位专任教师比例不低于15%。</w:t>
            </w:r>
            <w:r>
              <w:rPr>
                <w:rFonts w:hint="eastAsia" w:ascii="Times New Roman" w:hAnsi="Times New Roman" w:eastAsia="仿宋_GB2312" w:cs="Times New Roman"/>
                <w:color w:val="000000" w:themeColor="text1"/>
                <w:szCs w:val="21"/>
                <w14:textFill>
                  <w14:solidFill>
                    <w14:schemeClr w14:val="tx1"/>
                  </w14:solidFill>
                </w14:textFill>
              </w:rPr>
              <w:cr/>
            </w:r>
            <w:r>
              <w:rPr>
                <w:rFonts w:hint="eastAsia" w:ascii="Times New Roman" w:hAnsi="Times New Roman" w:eastAsia="仿宋_GB2312" w:cs="Times New Roman"/>
                <w:color w:val="000000" w:themeColor="text1"/>
                <w:szCs w:val="21"/>
                <w14:textFill>
                  <w14:solidFill>
                    <w14:schemeClr w14:val="tx1"/>
                  </w14:solidFill>
                </w14:textFill>
              </w:rPr>
              <w:t>（二）本专业的专任教师中，“双师型”教师占比不低于50%。来自行业企业一线的兼职教师占一定比例并有实质性专业教学任务，其所承担的专业课教学任务授课课时一般不少于专业课总课时的20%。</w:t>
            </w:r>
            <w:r>
              <w:rPr>
                <w:rFonts w:hint="eastAsia" w:ascii="Times New Roman" w:hAnsi="Times New Roman" w:eastAsia="仿宋_GB2312" w:cs="Times New Roman"/>
                <w:color w:val="000000" w:themeColor="text1"/>
                <w:szCs w:val="21"/>
                <w14:textFill>
                  <w14:solidFill>
                    <w14:schemeClr w14:val="tx1"/>
                  </w14:solidFill>
                </w14:textFill>
              </w:rPr>
              <w:cr/>
            </w:r>
            <w:r>
              <w:rPr>
                <w:rFonts w:hint="eastAsia" w:ascii="Times New Roman" w:hAnsi="Times New Roman" w:eastAsia="仿宋_GB2312" w:cs="Times New Roman"/>
                <w:color w:val="000000" w:themeColor="text1"/>
                <w:szCs w:val="21"/>
                <w14:textFill>
                  <w14:solidFill>
                    <w14:schemeClr w14:val="tx1"/>
                  </w14:solidFill>
                </w14:textFill>
              </w:rPr>
              <w:t>（三）有省级及以上教育行政部门等认定的高水平教师教学（科研）创新团队，或省级及以上教学名师、高层次人才担任专业带头人，或专业教师获省级及以上教学领域有关奖励两项以上。)</w:t>
            </w:r>
            <w:r>
              <w:rPr>
                <w:rFonts w:ascii="Times New Roman" w:hAnsi="Times New Roman" w:eastAsia="仿宋_GB2312" w:cs="Times New Roman"/>
                <w:color w:val="000000" w:themeColor="text1"/>
                <w:szCs w:val="21"/>
                <w14:textFill>
                  <w14:solidFill>
                    <w14:schemeClr w14:val="tx1"/>
                  </w14:solidFill>
                </w14:textFill>
              </w:rPr>
              <w:cr/>
            </w:r>
          </w:p>
          <w:p>
            <w:pPr>
              <w:snapToGrid w:val="0"/>
              <w:jc w:val="left"/>
              <w:rPr>
                <w:rFonts w:ascii="Times New Roman" w:hAnsi="Times New Roman" w:eastAsia="方正仿宋简体" w:cs="Times New Roman"/>
                <w:color w:val="000000" w:themeColor="text1"/>
                <w:sz w:val="18"/>
                <w:szCs w:val="18"/>
                <w14:textFill>
                  <w14:solidFill>
                    <w14:schemeClr w14:val="tx1"/>
                  </w14:solidFill>
                </w14:textFill>
              </w:rPr>
            </w:pPr>
          </w:p>
          <w:p>
            <w:pPr>
              <w:snapToGrid w:val="0"/>
              <w:spacing w:line="360" w:lineRule="auto"/>
              <w:ind w:firstLine="480" w:firstLineChars="200"/>
              <w:jc w:val="left"/>
              <w:rPr>
                <w:rFonts w:ascii="宋体" w:hAnsi="宋体" w:eastAsia="宋体" w:cs="宋体"/>
                <w:bCs/>
                <w:color w:val="000000" w:themeColor="text1"/>
                <w:kern w:val="0"/>
                <w:sz w:val="24"/>
                <w:szCs w:val="24"/>
                <w:lang w:val="zh-CN" w:bidi="zh-CN"/>
                <w14:textFill>
                  <w14:solidFill>
                    <w14:schemeClr w14:val="tx1"/>
                  </w14:solidFill>
                </w14:textFill>
              </w:rPr>
            </w:pPr>
            <w:r>
              <w:rPr>
                <w:rFonts w:hint="eastAsia" w:ascii="宋体" w:hAnsi="宋体" w:eastAsia="宋体" w:cs="宋体"/>
                <w:bCs/>
                <w:color w:val="000000" w:themeColor="text1"/>
                <w:kern w:val="0"/>
                <w:sz w:val="24"/>
                <w:szCs w:val="24"/>
                <w:lang w:val="zh-CN" w:bidi="zh-CN"/>
                <w14:textFill>
                  <w14:solidFill>
                    <w14:schemeClr w14:val="tx1"/>
                  </w14:solidFill>
                </w14:textFill>
              </w:rPr>
              <w:t>本专业师资队伍结构合理，专业教学团队由校内专任教师和企业兼职教师共同组成。现有专任教师</w:t>
            </w:r>
            <w:r>
              <w:rPr>
                <w:rFonts w:hint="eastAsia" w:ascii="宋体" w:hAnsi="宋体" w:eastAsia="宋体" w:cs="宋体"/>
                <w:bCs/>
                <w:color w:val="000000" w:themeColor="text1"/>
                <w:kern w:val="0"/>
                <w:sz w:val="24"/>
                <w:szCs w:val="24"/>
                <w:lang w:bidi="zh-CN"/>
                <w14:textFill>
                  <w14:solidFill>
                    <w14:schemeClr w14:val="tx1"/>
                  </w14:solidFill>
                </w14:textFill>
              </w:rPr>
              <w:t>29</w:t>
            </w:r>
            <w:r>
              <w:rPr>
                <w:rFonts w:hint="eastAsia" w:ascii="宋体" w:hAnsi="宋体" w:eastAsia="宋体" w:cs="宋体"/>
                <w:bCs/>
                <w:color w:val="000000" w:themeColor="text1"/>
                <w:kern w:val="0"/>
                <w:sz w:val="24"/>
                <w:szCs w:val="24"/>
                <w:lang w:val="zh-CN" w:bidi="zh-CN"/>
                <w14:textFill>
                  <w14:solidFill>
                    <w14:schemeClr w14:val="tx1"/>
                  </w14:solidFill>
                </w14:textFill>
              </w:rPr>
              <w:t>人，全日制在校生</w:t>
            </w:r>
            <w:r>
              <w:rPr>
                <w:rFonts w:hint="eastAsia" w:ascii="宋体" w:hAnsi="宋体" w:eastAsia="宋体" w:cs="宋体"/>
                <w:bCs/>
                <w:color w:val="000000" w:themeColor="text1"/>
                <w:kern w:val="0"/>
                <w:sz w:val="24"/>
                <w:szCs w:val="24"/>
                <w:lang w:bidi="zh-CN"/>
                <w14:textFill>
                  <w14:solidFill>
                    <w14:schemeClr w14:val="tx1"/>
                  </w14:solidFill>
                </w14:textFill>
              </w:rPr>
              <w:t>393</w:t>
            </w:r>
            <w:r>
              <w:rPr>
                <w:rFonts w:hint="eastAsia" w:ascii="宋体" w:hAnsi="宋体" w:eastAsia="宋体" w:cs="宋体"/>
                <w:bCs/>
                <w:color w:val="000000" w:themeColor="text1"/>
                <w:kern w:val="0"/>
                <w:sz w:val="24"/>
                <w:szCs w:val="24"/>
                <w:lang w:val="zh-CN" w:bidi="zh-CN"/>
                <w14:textFill>
                  <w14:solidFill>
                    <w14:schemeClr w14:val="tx1"/>
                  </w14:solidFill>
                </w14:textFill>
              </w:rPr>
              <w:t>人，专任教师与该专业全日制在校生人数之比为</w:t>
            </w:r>
            <w:r>
              <w:rPr>
                <w:rFonts w:hint="eastAsia" w:ascii="宋体" w:hAnsi="宋体" w:eastAsia="宋体" w:cs="宋体"/>
                <w:bCs/>
                <w:color w:val="000000" w:themeColor="text1"/>
                <w:kern w:val="0"/>
                <w:sz w:val="24"/>
                <w:szCs w:val="24"/>
                <w:lang w:bidi="zh-CN"/>
                <w14:textFill>
                  <w14:solidFill>
                    <w14:schemeClr w14:val="tx1"/>
                  </w14:solidFill>
                </w14:textFill>
              </w:rPr>
              <w:t>1</w:t>
            </w:r>
            <w:r>
              <w:rPr>
                <w:rFonts w:hint="eastAsia" w:ascii="宋体" w:hAnsi="宋体" w:eastAsia="宋体" w:cs="宋体"/>
                <w:bCs/>
                <w:color w:val="000000" w:themeColor="text1"/>
                <w:kern w:val="0"/>
                <w:sz w:val="24"/>
                <w:szCs w:val="24"/>
                <w:lang w:val="zh-CN" w:bidi="zh-CN"/>
                <w14:textFill>
                  <w14:solidFill>
                    <w14:schemeClr w14:val="tx1"/>
                  </w14:solidFill>
                </w14:textFill>
              </w:rPr>
              <w:t>:</w:t>
            </w:r>
            <w:r>
              <w:rPr>
                <w:rFonts w:hint="eastAsia" w:ascii="宋体" w:hAnsi="宋体" w:eastAsia="宋体" w:cs="宋体"/>
                <w:bCs/>
                <w:color w:val="000000" w:themeColor="text1"/>
                <w:kern w:val="0"/>
                <w:sz w:val="24"/>
                <w:szCs w:val="24"/>
                <w:lang w:bidi="zh-CN"/>
                <w14:textFill>
                  <w14:solidFill>
                    <w14:schemeClr w14:val="tx1"/>
                  </w14:solidFill>
                </w14:textFill>
              </w:rPr>
              <w:t>14</w:t>
            </w:r>
            <w:r>
              <w:rPr>
                <w:rFonts w:hint="eastAsia" w:ascii="宋体" w:hAnsi="宋体" w:eastAsia="宋体" w:cs="宋体"/>
                <w:bCs/>
                <w:color w:val="000000" w:themeColor="text1"/>
                <w:kern w:val="0"/>
                <w:sz w:val="24"/>
                <w:szCs w:val="24"/>
                <w:lang w:val="zh-CN" w:bidi="zh-CN"/>
                <w14:textFill>
                  <w14:solidFill>
                    <w14:schemeClr w14:val="tx1"/>
                  </w14:solidFill>
                </w14:textFill>
              </w:rPr>
              <w:t>；高级职称专任教师</w:t>
            </w:r>
            <w:r>
              <w:rPr>
                <w:rFonts w:hint="eastAsia" w:ascii="宋体" w:hAnsi="宋体" w:eastAsia="宋体" w:cs="宋体"/>
                <w:bCs/>
                <w:color w:val="000000" w:themeColor="text1"/>
                <w:kern w:val="0"/>
                <w:sz w:val="24"/>
                <w:szCs w:val="24"/>
                <w:lang w:bidi="zh-CN"/>
                <w14:textFill>
                  <w14:solidFill>
                    <w14:schemeClr w14:val="tx1"/>
                  </w14:solidFill>
                </w14:textFill>
              </w:rPr>
              <w:t>15</w:t>
            </w:r>
            <w:r>
              <w:rPr>
                <w:rFonts w:hint="eastAsia" w:ascii="宋体" w:hAnsi="宋体" w:eastAsia="宋体" w:cs="宋体"/>
                <w:bCs/>
                <w:color w:val="000000" w:themeColor="text1"/>
                <w:kern w:val="0"/>
                <w:sz w:val="24"/>
                <w:szCs w:val="24"/>
                <w:lang w:val="zh-CN" w:bidi="zh-CN"/>
                <w14:textFill>
                  <w14:solidFill>
                    <w14:schemeClr w14:val="tx1"/>
                  </w14:solidFill>
                </w14:textFill>
              </w:rPr>
              <w:t>人，比例为</w:t>
            </w:r>
            <w:r>
              <w:rPr>
                <w:rFonts w:hint="eastAsia" w:ascii="宋体" w:hAnsi="宋体" w:eastAsia="宋体" w:cs="宋体"/>
                <w:bCs/>
                <w:color w:val="000000" w:themeColor="text1"/>
                <w:kern w:val="0"/>
                <w:sz w:val="24"/>
                <w:szCs w:val="24"/>
                <w:lang w:bidi="zh-CN"/>
                <w14:textFill>
                  <w14:solidFill>
                    <w14:schemeClr w14:val="tx1"/>
                  </w14:solidFill>
                </w14:textFill>
              </w:rPr>
              <w:t>51.7</w:t>
            </w:r>
            <w:r>
              <w:rPr>
                <w:rFonts w:hint="eastAsia" w:ascii="宋体" w:hAnsi="宋体" w:eastAsia="宋体" w:cs="宋体"/>
                <w:bCs/>
                <w:color w:val="000000" w:themeColor="text1"/>
                <w:kern w:val="0"/>
                <w:sz w:val="24"/>
                <w:szCs w:val="24"/>
                <w:lang w:val="zh-CN" w:bidi="zh-CN"/>
                <w14:textFill>
                  <w14:solidFill>
                    <w14:schemeClr w14:val="tx1"/>
                  </w14:solidFill>
                </w14:textFill>
              </w:rPr>
              <w:t>%；具有研究生学位专任教师</w:t>
            </w:r>
            <w:r>
              <w:rPr>
                <w:rFonts w:hint="eastAsia" w:ascii="宋体" w:hAnsi="宋体" w:eastAsia="宋体" w:cs="宋体"/>
                <w:bCs/>
                <w:color w:val="000000" w:themeColor="text1"/>
                <w:kern w:val="0"/>
                <w:sz w:val="24"/>
                <w:szCs w:val="24"/>
                <w:lang w:bidi="zh-CN"/>
                <w14:textFill>
                  <w14:solidFill>
                    <w14:schemeClr w14:val="tx1"/>
                  </w14:solidFill>
                </w14:textFill>
              </w:rPr>
              <w:t>26</w:t>
            </w:r>
            <w:r>
              <w:rPr>
                <w:rFonts w:hint="eastAsia" w:ascii="宋体" w:hAnsi="宋体" w:eastAsia="宋体" w:cs="宋体"/>
                <w:bCs/>
                <w:color w:val="000000" w:themeColor="text1"/>
                <w:kern w:val="0"/>
                <w:sz w:val="24"/>
                <w:szCs w:val="24"/>
                <w:lang w:val="zh-CN" w:bidi="zh-CN"/>
                <w14:textFill>
                  <w14:solidFill>
                    <w14:schemeClr w14:val="tx1"/>
                  </w14:solidFill>
                </w14:textFill>
              </w:rPr>
              <w:t>人，比例</w:t>
            </w:r>
            <w:r>
              <w:rPr>
                <w:rFonts w:hint="eastAsia" w:ascii="宋体" w:hAnsi="宋体" w:eastAsia="宋体" w:cs="宋体"/>
                <w:bCs/>
                <w:color w:val="000000" w:themeColor="text1"/>
                <w:kern w:val="0"/>
                <w:sz w:val="24"/>
                <w:szCs w:val="24"/>
                <w:lang w:bidi="zh-CN"/>
                <w14:textFill>
                  <w14:solidFill>
                    <w14:schemeClr w14:val="tx1"/>
                  </w14:solidFill>
                </w14:textFill>
              </w:rPr>
              <w:t>89.7</w:t>
            </w:r>
            <w:r>
              <w:rPr>
                <w:rFonts w:hint="eastAsia" w:ascii="宋体" w:hAnsi="宋体" w:eastAsia="宋体" w:cs="宋体"/>
                <w:bCs/>
                <w:color w:val="000000" w:themeColor="text1"/>
                <w:kern w:val="0"/>
                <w:sz w:val="24"/>
                <w:szCs w:val="24"/>
                <w:lang w:val="zh-CN" w:bidi="zh-CN"/>
                <w14:textFill>
                  <w14:solidFill>
                    <w14:schemeClr w14:val="tx1"/>
                  </w14:solidFill>
                </w14:textFill>
              </w:rPr>
              <w:t>%；具有博士研究生学位专任教师14人，比例为48.3%。本专业的专任教师中，“双师型”教师20人，比例为69%。来自行业企业一线的兼职教师22人，所授课程总课时为360，所承担的专业课教学任务授课课时占专业课总课时的25%。本专业现有浙江省“151人才工程”</w:t>
            </w:r>
            <w:r>
              <w:rPr>
                <w:rFonts w:hint="eastAsia" w:ascii="宋体" w:hAnsi="宋体" w:eastAsia="宋体" w:cs="宋体"/>
                <w:bCs/>
                <w:color w:val="000000" w:themeColor="text1"/>
                <w:kern w:val="0"/>
                <w:sz w:val="24"/>
                <w:szCs w:val="24"/>
                <w:lang w:bidi="zh-CN"/>
                <w14:textFill>
                  <w14:solidFill>
                    <w14:schemeClr w14:val="tx1"/>
                  </w14:solidFill>
                </w14:textFill>
              </w:rPr>
              <w:t>2</w:t>
            </w:r>
            <w:r>
              <w:rPr>
                <w:rFonts w:hint="eastAsia" w:ascii="宋体" w:hAnsi="宋体" w:eastAsia="宋体" w:cs="宋体"/>
                <w:bCs/>
                <w:color w:val="000000" w:themeColor="text1"/>
                <w:kern w:val="0"/>
                <w:sz w:val="24"/>
                <w:szCs w:val="24"/>
                <w:lang w:val="zh-CN" w:bidi="zh-CN"/>
                <w14:textFill>
                  <w14:solidFill>
                    <w14:schemeClr w14:val="tx1"/>
                  </w14:solidFill>
                </w14:textFill>
              </w:rPr>
              <w:t>人，浙江省百千万人才</w:t>
            </w:r>
            <w:r>
              <w:rPr>
                <w:rFonts w:hint="eastAsia" w:ascii="宋体" w:hAnsi="宋体" w:eastAsia="宋体" w:cs="宋体"/>
                <w:bCs/>
                <w:color w:val="000000" w:themeColor="text1"/>
                <w:kern w:val="0"/>
                <w:sz w:val="24"/>
                <w:szCs w:val="24"/>
                <w:lang w:bidi="zh-CN"/>
                <w14:textFill>
                  <w14:solidFill>
                    <w14:schemeClr w14:val="tx1"/>
                  </w14:solidFill>
                </w14:textFill>
              </w:rPr>
              <w:t>1人，</w:t>
            </w:r>
            <w:r>
              <w:rPr>
                <w:rFonts w:hint="eastAsia" w:ascii="宋体" w:hAnsi="宋体" w:eastAsia="宋体" w:cs="宋体"/>
                <w:bCs/>
                <w:color w:val="000000" w:themeColor="text1"/>
                <w:kern w:val="0"/>
                <w:sz w:val="24"/>
                <w:szCs w:val="24"/>
                <w:lang w:val="zh-CN" w:bidi="zh-CN"/>
                <w14:textFill>
                  <w14:solidFill>
                    <w14:schemeClr w14:val="tx1"/>
                  </w14:solidFill>
                </w14:textFill>
              </w:rPr>
              <w:t>丽水市“138人才工程”</w:t>
            </w:r>
            <w:r>
              <w:rPr>
                <w:rFonts w:hint="eastAsia" w:ascii="宋体" w:hAnsi="宋体" w:eastAsia="宋体" w:cs="宋体"/>
                <w:bCs/>
                <w:color w:val="000000" w:themeColor="text1"/>
                <w:kern w:val="0"/>
                <w:sz w:val="24"/>
                <w:szCs w:val="24"/>
                <w:lang w:bidi="zh-CN"/>
                <w14:textFill>
                  <w14:solidFill>
                    <w14:schemeClr w14:val="tx1"/>
                  </w14:solidFill>
                </w14:textFill>
              </w:rPr>
              <w:t>6</w:t>
            </w:r>
            <w:r>
              <w:rPr>
                <w:rFonts w:hint="eastAsia" w:ascii="宋体" w:hAnsi="宋体" w:eastAsia="宋体" w:cs="宋体"/>
                <w:bCs/>
                <w:color w:val="000000" w:themeColor="text1"/>
                <w:kern w:val="0"/>
                <w:sz w:val="24"/>
                <w:szCs w:val="24"/>
                <w:lang w:val="zh-CN" w:bidi="zh-CN"/>
                <w14:textFill>
                  <w14:solidFill>
                    <w14:schemeClr w14:val="tx1"/>
                  </w14:solidFill>
                </w14:textFill>
              </w:rPr>
              <w:t>人</w:t>
            </w:r>
            <w:r>
              <w:rPr>
                <w:rFonts w:hint="eastAsia" w:ascii="宋体" w:hAnsi="宋体" w:eastAsia="宋体" w:cs="宋体"/>
                <w:bCs/>
                <w:color w:val="000000" w:themeColor="text1"/>
                <w:kern w:val="0"/>
                <w:sz w:val="24"/>
                <w:szCs w:val="24"/>
                <w:lang w:bidi="zh-CN"/>
                <w14:textFill>
                  <w14:solidFill>
                    <w14:schemeClr w14:val="tx1"/>
                  </w14:solidFill>
                </w14:textFill>
              </w:rPr>
              <w:t>。</w:t>
            </w:r>
            <w:r>
              <w:rPr>
                <w:rFonts w:hint="eastAsia" w:ascii="宋体" w:hAnsi="宋体" w:eastAsia="宋体" w:cs="宋体"/>
                <w:bCs/>
                <w:color w:val="000000" w:themeColor="text1"/>
                <w:kern w:val="0"/>
                <w:sz w:val="24"/>
                <w:szCs w:val="24"/>
                <w:lang w:val="zh-CN" w:bidi="zh-CN"/>
                <w14:textFill>
                  <w14:solidFill>
                    <w14:schemeClr w14:val="tx1"/>
                  </w14:solidFill>
                </w14:textFill>
              </w:rPr>
              <w:t>另外校外兼职教师</w:t>
            </w:r>
            <w:r>
              <w:rPr>
                <w:rFonts w:hint="eastAsia" w:ascii="宋体" w:hAnsi="宋体" w:eastAsia="宋体" w:cs="宋体"/>
                <w:bCs/>
                <w:color w:val="000000" w:themeColor="text1"/>
                <w:kern w:val="0"/>
                <w:sz w:val="24"/>
                <w:szCs w:val="24"/>
                <w:lang w:bidi="zh-CN"/>
                <w14:textFill>
                  <w14:solidFill>
                    <w14:schemeClr w14:val="tx1"/>
                  </w14:solidFill>
                </w14:textFill>
              </w:rPr>
              <w:t>中</w:t>
            </w:r>
            <w:r>
              <w:rPr>
                <w:rFonts w:hint="eastAsia" w:ascii="宋体" w:hAnsi="宋体" w:eastAsia="宋体" w:cs="宋体"/>
                <w:bCs/>
                <w:color w:val="000000" w:themeColor="text1"/>
                <w:kern w:val="0"/>
                <w:sz w:val="24"/>
                <w:szCs w:val="24"/>
                <w:lang w:val="zh-CN" w:bidi="zh-CN"/>
                <w14:textFill>
                  <w14:solidFill>
                    <w14:schemeClr w14:val="tx1"/>
                  </w14:solidFill>
                </w14:textFill>
              </w:rPr>
              <w:t>，省首席技师</w:t>
            </w:r>
            <w:r>
              <w:rPr>
                <w:rFonts w:hint="eastAsia" w:ascii="宋体" w:hAnsi="宋体" w:eastAsia="宋体" w:cs="宋体"/>
                <w:bCs/>
                <w:color w:val="000000" w:themeColor="text1"/>
                <w:kern w:val="0"/>
                <w:sz w:val="24"/>
                <w:szCs w:val="24"/>
                <w:lang w:bidi="zh-CN"/>
                <w14:textFill>
                  <w14:solidFill>
                    <w14:schemeClr w14:val="tx1"/>
                  </w14:solidFill>
                </w14:textFill>
              </w:rPr>
              <w:t>1</w:t>
            </w:r>
            <w:r>
              <w:rPr>
                <w:rFonts w:hint="eastAsia" w:ascii="宋体" w:hAnsi="宋体" w:eastAsia="宋体" w:cs="宋体"/>
                <w:bCs/>
                <w:color w:val="000000" w:themeColor="text1"/>
                <w:kern w:val="0"/>
                <w:sz w:val="24"/>
                <w:szCs w:val="24"/>
                <w:lang w:val="zh-CN" w:bidi="zh-CN"/>
                <w14:textFill>
                  <w14:solidFill>
                    <w14:schemeClr w14:val="tx1"/>
                  </w14:solidFill>
                </w14:textFill>
              </w:rPr>
              <w:t>人，省</w:t>
            </w:r>
            <w:r>
              <w:rPr>
                <w:rFonts w:hint="eastAsia" w:ascii="宋体" w:hAnsi="宋体" w:eastAsia="宋体" w:cs="宋体"/>
                <w:bCs/>
                <w:color w:val="000000" w:themeColor="text1"/>
                <w:kern w:val="0"/>
                <w:sz w:val="24"/>
                <w:szCs w:val="24"/>
                <w:lang w:bidi="zh-CN"/>
                <w14:textFill>
                  <w14:solidFill>
                    <w14:schemeClr w14:val="tx1"/>
                  </w14:solidFill>
                </w14:textFill>
              </w:rPr>
              <w:t>技术能手2人，浙江工匠2人，市技术能手1人，高级职称占比31.8%</w:t>
            </w:r>
            <w:r>
              <w:rPr>
                <w:rFonts w:hint="eastAsia" w:ascii="宋体" w:hAnsi="宋体" w:eastAsia="宋体" w:cs="宋体"/>
                <w:bCs/>
                <w:color w:val="000000" w:themeColor="text1"/>
                <w:kern w:val="0"/>
                <w:sz w:val="24"/>
                <w:szCs w:val="24"/>
                <w:lang w:val="zh-CN" w:bidi="zh-CN"/>
                <w14:textFill>
                  <w14:solidFill>
                    <w14:schemeClr w14:val="tx1"/>
                  </w14:solidFill>
                </w14:textFill>
              </w:rPr>
              <w:t>。</w:t>
            </w:r>
          </w:p>
          <w:p>
            <w:pPr>
              <w:snapToGrid w:val="0"/>
              <w:spacing w:line="360" w:lineRule="auto"/>
              <w:ind w:firstLine="480" w:firstLineChars="200"/>
              <w:jc w:val="left"/>
              <w:rPr>
                <w:rFonts w:ascii="宋体" w:hAnsi="宋体" w:eastAsia="宋体" w:cs="宋体"/>
                <w:bCs/>
                <w:color w:val="000000" w:themeColor="text1"/>
                <w:kern w:val="0"/>
                <w:sz w:val="24"/>
                <w:szCs w:val="24"/>
                <w:lang w:val="zh-CN" w:bidi="zh-CN"/>
                <w14:textFill>
                  <w14:solidFill>
                    <w14:schemeClr w14:val="tx1"/>
                  </w14:solidFill>
                </w14:textFill>
              </w:rPr>
            </w:pPr>
            <w:r>
              <w:rPr>
                <w:rFonts w:hint="eastAsia" w:ascii="宋体" w:hAnsi="宋体" w:eastAsia="宋体" w:cs="宋体"/>
                <w:bCs/>
                <w:color w:val="000000" w:themeColor="text1"/>
                <w:kern w:val="0"/>
                <w:sz w:val="24"/>
                <w:szCs w:val="24"/>
                <w:lang w:val="zh-CN" w:bidi="zh-CN"/>
                <w14:textFill>
                  <w14:solidFill>
                    <w14:schemeClr w14:val="tx1"/>
                  </w14:solidFill>
                </w14:textFill>
              </w:rPr>
              <w:t>本专业教师教科研项目成果显著，</w:t>
            </w:r>
            <w:r>
              <w:rPr>
                <w:rFonts w:hint="eastAsia" w:ascii="宋体" w:hAnsi="宋体" w:eastAsia="宋体" w:cs="宋体"/>
                <w:bCs/>
                <w:color w:val="000000" w:themeColor="text1"/>
                <w:kern w:val="0"/>
                <w:sz w:val="24"/>
                <w:szCs w:val="24"/>
                <w:lang w:bidi="zh-CN"/>
                <w14:textFill>
                  <w14:solidFill>
                    <w14:schemeClr w14:val="tx1"/>
                  </w14:solidFill>
                </w14:textFill>
              </w:rPr>
              <w:t>现有省级</w:t>
            </w:r>
            <w:r>
              <w:rPr>
                <w:rFonts w:hint="eastAsia" w:ascii="宋体" w:hAnsi="宋体" w:eastAsia="宋体" w:cs="宋体"/>
                <w:bCs/>
                <w:color w:val="000000" w:themeColor="text1"/>
                <w:kern w:val="0"/>
                <w:sz w:val="24"/>
                <w:szCs w:val="24"/>
                <w:lang w:val="zh-CN" w:bidi="zh-CN"/>
                <w14:textFill>
                  <w14:solidFill>
                    <w14:schemeClr w14:val="tx1"/>
                  </w14:solidFill>
                </w14:textFill>
              </w:rPr>
              <w:t>重点实验室</w:t>
            </w:r>
            <w:r>
              <w:rPr>
                <w:rFonts w:hint="eastAsia" w:ascii="宋体" w:hAnsi="宋体" w:eastAsia="宋体" w:cs="宋体"/>
                <w:bCs/>
                <w:color w:val="000000" w:themeColor="text1"/>
                <w:kern w:val="0"/>
                <w:sz w:val="24"/>
                <w:szCs w:val="24"/>
                <w:lang w:bidi="zh-CN"/>
                <w14:textFill>
                  <w14:solidFill>
                    <w14:schemeClr w14:val="tx1"/>
                  </w14:solidFill>
                </w14:textFill>
              </w:rPr>
              <w:t>1个</w:t>
            </w:r>
            <w:r>
              <w:rPr>
                <w:rFonts w:hint="eastAsia" w:ascii="宋体" w:hAnsi="宋体" w:eastAsia="宋体" w:cs="宋体"/>
                <w:bCs/>
                <w:color w:val="000000" w:themeColor="text1"/>
                <w:kern w:val="0"/>
                <w:sz w:val="24"/>
                <w:szCs w:val="24"/>
                <w:lang w:val="zh-CN" w:bidi="zh-CN"/>
                <w14:textFill>
                  <w14:solidFill>
                    <w14:schemeClr w14:val="tx1"/>
                  </w14:solidFill>
                </w14:textFill>
              </w:rPr>
              <w:t>：“特色文创产品数字化设计与智能制造”，市级重点实验室</w:t>
            </w:r>
            <w:r>
              <w:rPr>
                <w:rFonts w:hint="eastAsia" w:ascii="宋体" w:hAnsi="宋体" w:eastAsia="宋体" w:cs="宋体"/>
                <w:bCs/>
                <w:color w:val="000000" w:themeColor="text1"/>
                <w:kern w:val="0"/>
                <w:sz w:val="24"/>
                <w:szCs w:val="24"/>
                <w:lang w:bidi="zh-CN"/>
                <w14:textFill>
                  <w14:solidFill>
                    <w14:schemeClr w14:val="tx1"/>
                  </w14:solidFill>
                </w14:textFill>
              </w:rPr>
              <w:t>2个：“</w:t>
            </w:r>
            <w:r>
              <w:rPr>
                <w:rFonts w:hint="eastAsia" w:ascii="宋体" w:hAnsi="宋体" w:eastAsia="宋体" w:cs="宋体"/>
                <w:bCs/>
                <w:color w:val="000000" w:themeColor="text1"/>
                <w:kern w:val="0"/>
                <w:sz w:val="24"/>
                <w:szCs w:val="24"/>
                <w:lang w:val="zh-CN" w:bidi="zh-CN"/>
                <w14:textFill>
                  <w14:solidFill>
                    <w14:schemeClr w14:val="tx1"/>
                  </w14:solidFill>
                </w14:textFill>
              </w:rPr>
              <w:t>汽车空调部件创新联合体”与“丽水精密装备重点实验室”，企业联合建设省级重点实验室1家；先后承担省级及以上教科研项目6项，横向技术服务项目100余项；公开发表论文100余篇，其中核心论文50余篇；开发建设了12门产学合作课程，与</w:t>
            </w:r>
            <w:r>
              <w:rPr>
                <w:rFonts w:hint="eastAsia" w:ascii="宋体" w:hAnsi="宋体" w:eastAsia="宋体" w:cs="宋体"/>
                <w:bCs/>
                <w:color w:val="000000" w:themeColor="text1"/>
                <w:kern w:val="0"/>
                <w:sz w:val="24"/>
                <w:szCs w:val="24"/>
                <w:lang w:bidi="zh-CN"/>
                <w14:textFill>
                  <w14:solidFill>
                    <w14:schemeClr w14:val="tx1"/>
                  </w14:solidFill>
                </w14:textFill>
              </w:rPr>
              <w:t>企业共同编写教材5本；</w:t>
            </w:r>
            <w:r>
              <w:rPr>
                <w:rFonts w:hint="eastAsia" w:ascii="宋体" w:hAnsi="宋体" w:eastAsia="宋体" w:cs="宋体"/>
                <w:bCs/>
                <w:color w:val="000000" w:themeColor="text1"/>
                <w:kern w:val="0"/>
                <w:sz w:val="24"/>
                <w:szCs w:val="24"/>
                <w:lang w:val="zh-CN" w:bidi="zh-CN"/>
                <w14:textFill>
                  <w14:solidFill>
                    <w14:schemeClr w14:val="tx1"/>
                  </w14:solidFill>
                </w14:textFill>
              </w:rPr>
              <w:t>浙江省教学成果二等奖</w:t>
            </w:r>
            <w:r>
              <w:rPr>
                <w:rFonts w:hint="eastAsia" w:ascii="宋体" w:hAnsi="宋体" w:eastAsia="宋体" w:cs="宋体"/>
                <w:bCs/>
                <w:color w:val="000000" w:themeColor="text1"/>
                <w:kern w:val="0"/>
                <w:sz w:val="24"/>
                <w:szCs w:val="24"/>
                <w:lang w:bidi="zh-CN"/>
                <w14:textFill>
                  <w14:solidFill>
                    <w14:schemeClr w14:val="tx1"/>
                  </w14:solidFill>
                </w14:textFill>
              </w:rPr>
              <w:t>两项</w:t>
            </w:r>
            <w:r>
              <w:rPr>
                <w:rFonts w:hint="eastAsia" w:ascii="宋体" w:hAnsi="宋体" w:eastAsia="宋体" w:cs="宋体"/>
                <w:bCs/>
                <w:color w:val="000000" w:themeColor="text1"/>
                <w:kern w:val="0"/>
                <w:sz w:val="24"/>
                <w:szCs w:val="24"/>
                <w:lang w:val="zh-CN" w:bidi="zh-CN"/>
                <w14:textFill>
                  <w14:solidFill>
                    <w14:schemeClr w14:val="tx1"/>
                  </w14:solidFill>
                </w14:textFill>
              </w:rPr>
              <w:t>；建成了省级一流</w:t>
            </w:r>
            <w:r>
              <w:rPr>
                <w:rFonts w:hint="eastAsia" w:ascii="宋体" w:hAnsi="宋体" w:eastAsia="宋体" w:cs="宋体"/>
                <w:bCs/>
                <w:color w:val="000000" w:themeColor="text1"/>
                <w:kern w:val="0"/>
                <w:sz w:val="24"/>
                <w:szCs w:val="24"/>
                <w:lang w:bidi="zh-CN"/>
                <w14:textFill>
                  <w14:solidFill>
                    <w14:schemeClr w14:val="tx1"/>
                  </w14:solidFill>
                </w14:textFill>
              </w:rPr>
              <w:t>本科</w:t>
            </w:r>
            <w:r>
              <w:rPr>
                <w:rFonts w:hint="eastAsia" w:ascii="宋体" w:hAnsi="宋体" w:eastAsia="宋体" w:cs="宋体"/>
                <w:bCs/>
                <w:color w:val="000000" w:themeColor="text1"/>
                <w:kern w:val="0"/>
                <w:sz w:val="24"/>
                <w:szCs w:val="24"/>
                <w:lang w:val="zh-CN" w:bidi="zh-CN"/>
                <w14:textFill>
                  <w14:solidFill>
                    <w14:schemeClr w14:val="tx1"/>
                  </w14:solidFill>
                </w14:textFill>
              </w:rPr>
              <w:t>课程</w:t>
            </w:r>
            <w:r>
              <w:rPr>
                <w:rFonts w:hint="eastAsia" w:ascii="宋体" w:hAnsi="宋体" w:eastAsia="宋体" w:cs="宋体"/>
                <w:bCs/>
                <w:color w:val="000000" w:themeColor="text1"/>
                <w:kern w:val="0"/>
                <w:sz w:val="24"/>
                <w:szCs w:val="24"/>
                <w:lang w:bidi="zh-CN"/>
                <w14:textFill>
                  <w14:solidFill>
                    <w14:schemeClr w14:val="tx1"/>
                  </w14:solidFill>
                </w14:textFill>
              </w:rPr>
              <w:t>5门</w:t>
            </w:r>
            <w:r>
              <w:rPr>
                <w:rFonts w:hint="eastAsia" w:ascii="宋体" w:hAnsi="宋体" w:eastAsia="宋体" w:cs="宋体"/>
                <w:bCs/>
                <w:color w:val="000000" w:themeColor="text1"/>
                <w:kern w:val="0"/>
                <w:sz w:val="24"/>
                <w:szCs w:val="24"/>
                <w:lang w:val="zh-CN" w:bidi="zh-CN"/>
                <w14:textFill>
                  <w14:solidFill>
                    <w14:schemeClr w14:val="tx1"/>
                  </w14:solidFill>
                </w14:textFill>
              </w:rPr>
              <w:t>，浙江省科技技术进步三等奖1项，全国商业科技进步二等奖</w:t>
            </w:r>
            <w:r>
              <w:rPr>
                <w:rFonts w:hint="eastAsia" w:ascii="宋体" w:hAnsi="宋体" w:eastAsia="宋体" w:cs="宋体"/>
                <w:bCs/>
                <w:color w:val="000000" w:themeColor="text1"/>
                <w:kern w:val="0"/>
                <w:sz w:val="24"/>
                <w:szCs w:val="24"/>
                <w:lang w:bidi="zh-CN"/>
                <w14:textFill>
                  <w14:solidFill>
                    <w14:schemeClr w14:val="tx1"/>
                  </w14:solidFill>
                </w14:textFill>
              </w:rPr>
              <w:t>和</w:t>
            </w:r>
            <w:r>
              <w:rPr>
                <w:rFonts w:hint="eastAsia" w:ascii="宋体" w:hAnsi="宋体" w:eastAsia="宋体" w:cs="宋体"/>
                <w:bCs/>
                <w:color w:val="000000" w:themeColor="text1"/>
                <w:kern w:val="0"/>
                <w:sz w:val="24"/>
                <w:szCs w:val="24"/>
                <w:lang w:val="zh-CN" w:bidi="zh-CN"/>
                <w14:textFill>
                  <w14:solidFill>
                    <w14:schemeClr w14:val="tx1"/>
                  </w14:solidFill>
                </w14:textFill>
              </w:rPr>
              <w:t>三等奖</w:t>
            </w:r>
            <w:r>
              <w:rPr>
                <w:rFonts w:hint="eastAsia" w:ascii="宋体" w:hAnsi="宋体" w:eastAsia="宋体" w:cs="宋体"/>
                <w:bCs/>
                <w:color w:val="000000" w:themeColor="text1"/>
                <w:kern w:val="0"/>
                <w:sz w:val="24"/>
                <w:szCs w:val="24"/>
                <w:lang w:bidi="zh-CN"/>
                <w14:textFill>
                  <w14:solidFill>
                    <w14:schemeClr w14:val="tx1"/>
                  </w14:solidFill>
                </w14:textFill>
              </w:rPr>
              <w:t>各</w:t>
            </w:r>
            <w:r>
              <w:rPr>
                <w:rFonts w:hint="eastAsia" w:ascii="宋体" w:hAnsi="宋体" w:eastAsia="宋体" w:cs="宋体"/>
                <w:bCs/>
                <w:color w:val="000000" w:themeColor="text1"/>
                <w:kern w:val="0"/>
                <w:sz w:val="24"/>
                <w:szCs w:val="24"/>
                <w:lang w:val="zh-CN" w:bidi="zh-CN"/>
                <w14:textFill>
                  <w14:solidFill>
                    <w14:schemeClr w14:val="tx1"/>
                  </w14:solidFill>
                </w14:textFill>
              </w:rPr>
              <w:t>1项，省青年教师教学竞赛一等奖2个。</w:t>
            </w:r>
          </w:p>
          <w:p>
            <w:pPr>
              <w:snapToGrid w:val="0"/>
              <w:spacing w:line="360" w:lineRule="auto"/>
              <w:ind w:firstLine="480" w:firstLineChars="200"/>
              <w:jc w:val="left"/>
              <w:rPr>
                <w:rFonts w:ascii="宋体" w:hAnsi="宋体" w:eastAsia="宋体" w:cs="宋体"/>
                <w:bCs/>
                <w:color w:val="000000" w:themeColor="text1"/>
                <w:kern w:val="0"/>
                <w:sz w:val="24"/>
                <w:szCs w:val="24"/>
                <w:lang w:val="zh-CN" w:bidi="zh-CN"/>
                <w14:textFill>
                  <w14:solidFill>
                    <w14:schemeClr w14:val="tx1"/>
                  </w14:solidFill>
                </w14:textFill>
              </w:rPr>
            </w:pPr>
            <w:r>
              <w:rPr>
                <w:rFonts w:hint="eastAsia" w:ascii="宋体" w:hAnsi="宋体" w:eastAsia="宋体" w:cs="宋体"/>
                <w:bCs/>
                <w:color w:val="000000" w:themeColor="text1"/>
                <w:kern w:val="0"/>
                <w:sz w:val="24"/>
                <w:szCs w:val="24"/>
                <w:lang w:bidi="zh-CN"/>
                <w14:textFill>
                  <w14:solidFill>
                    <w14:schemeClr w14:val="tx1"/>
                  </w14:solidFill>
                </w14:textFill>
              </w:rPr>
              <w:t>智能制造</w:t>
            </w:r>
            <w:r>
              <w:rPr>
                <w:rFonts w:hint="eastAsia" w:ascii="宋体" w:hAnsi="宋体" w:eastAsia="宋体" w:cs="宋体"/>
                <w:bCs/>
                <w:color w:val="000000" w:themeColor="text1"/>
                <w:kern w:val="0"/>
                <w:sz w:val="24"/>
                <w:szCs w:val="24"/>
                <w:lang w:val="zh-CN" w:bidi="zh-CN"/>
                <w14:textFill>
                  <w14:solidFill>
                    <w14:schemeClr w14:val="tx1"/>
                  </w14:solidFill>
                </w14:textFill>
              </w:rPr>
              <w:t>类专业学生在专业教师的指导下参加省级以上各类竞赛及技能大赛50余项，获得各类奖项30余个，其中全国职业院校技能大赛一等奖10个、二等奖8个、三等奖9个。</w:t>
            </w:r>
          </w:p>
          <w:p>
            <w:pPr>
              <w:snapToGrid w:val="0"/>
              <w:spacing w:line="360" w:lineRule="auto"/>
              <w:ind w:firstLine="480" w:firstLineChars="200"/>
              <w:jc w:val="left"/>
              <w:rPr>
                <w:rFonts w:ascii="宋体" w:hAnsi="宋体" w:eastAsia="宋体" w:cs="宋体"/>
                <w:bCs/>
                <w:color w:val="000000" w:themeColor="text1"/>
                <w:kern w:val="0"/>
                <w:sz w:val="24"/>
                <w:szCs w:val="24"/>
                <w:lang w:val="zh-CN" w:bidi="zh-CN"/>
                <w14:textFill>
                  <w14:solidFill>
                    <w14:schemeClr w14:val="tx1"/>
                  </w14:solidFill>
                </w14:textFill>
              </w:rPr>
            </w:pPr>
            <w:r>
              <w:rPr>
                <w:rFonts w:hint="eastAsia" w:ascii="宋体" w:hAnsi="宋体" w:eastAsia="宋体" w:cs="宋体"/>
                <w:bCs/>
                <w:color w:val="000000" w:themeColor="text1"/>
                <w:kern w:val="0"/>
                <w:sz w:val="24"/>
                <w:szCs w:val="24"/>
                <w:lang w:bidi="zh-CN"/>
                <w14:textFill>
                  <w14:solidFill>
                    <w14:schemeClr w14:val="tx1"/>
                  </w14:solidFill>
                </w14:textFill>
              </w:rPr>
              <w:t>专业带头人</w:t>
            </w:r>
            <w:r>
              <w:rPr>
                <w:rFonts w:hint="eastAsia" w:ascii="宋体" w:hAnsi="宋体" w:eastAsia="宋体" w:cs="宋体"/>
                <w:bCs/>
                <w:color w:val="000000" w:themeColor="text1"/>
                <w:kern w:val="0"/>
                <w:sz w:val="24"/>
                <w:szCs w:val="24"/>
                <w:lang w:val="zh-CN" w:bidi="zh-CN"/>
                <w14:textFill>
                  <w14:solidFill>
                    <w14:schemeClr w14:val="tx1"/>
                  </w14:solidFill>
                </w14:textFill>
              </w:rPr>
              <w:t>吴晓飞，工学院电子与电气系教授。曾任电子与电气系主任、电子信息工程专业负责人，现任校学术委员会委员、教学督导。其主讲的课程“单片机原理及应用”被认定为浙江省高校省级本科“线下一流”课程，主持丽水市重点学科“控制科学与工程”的建设，主持或参与省部级教科研项目6项，主编教材1部，发表SCI收录论文8篇；先后荣获“浙江省第三届教坛新秀”“丽水市第二届师德先进个人”“学校中青年骨干教师”“学校课堂教学十佳”“学校教师课堂教学质量奖”“学校三育人先进个人”“学校事业家庭兼顾型先进个人”等荣誉，她指导的学生们也收获了“全国大学生电子设计竞赛国家一等奖”等多个奖项。</w:t>
            </w:r>
          </w:p>
          <w:p>
            <w:pPr>
              <w:snapToGrid w:val="0"/>
              <w:jc w:val="left"/>
              <w:rPr>
                <w:rFonts w:ascii="Times New Roman" w:hAnsi="Times New Roman" w:eastAsia="方正仿宋简体" w:cs="Times New Roman"/>
                <w:color w:val="000000" w:themeColor="text1"/>
                <w:sz w:val="18"/>
                <w:szCs w:val="18"/>
                <w14:textFill>
                  <w14:solidFill>
                    <w14:schemeClr w14:val="tx1"/>
                  </w14:solidFill>
                </w14:textFill>
              </w:rPr>
            </w:pPr>
          </w:p>
          <w:p>
            <w:pPr>
              <w:snapToGrid w:val="0"/>
              <w:jc w:val="left"/>
              <w:rPr>
                <w:rFonts w:ascii="Times New Roman" w:hAnsi="Times New Roman" w:eastAsia="方正仿宋简体" w:cs="Times New Roman"/>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5" w:hRule="atLeast"/>
          <w:jc w:val="center"/>
        </w:trPr>
        <w:tc>
          <w:tcPr>
            <w:tcW w:w="888"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专业人才</w:t>
            </w:r>
          </w:p>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培养方案要点</w:t>
            </w:r>
          </w:p>
        </w:tc>
        <w:tc>
          <w:tcPr>
            <w:tcW w:w="7844" w:type="dxa"/>
            <w:gridSpan w:val="4"/>
          </w:tcPr>
          <w:p>
            <w:pPr>
              <w:snapToGrid w:val="0"/>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（对应《办法》第十一条填写，不超过1000字）</w:t>
            </w:r>
          </w:p>
          <w:p>
            <w:pPr>
              <w:snapToGrid w:val="0"/>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（办法</w:t>
            </w:r>
            <w:r>
              <w:rPr>
                <w:rFonts w:hint="eastAsia" w:ascii="Times New Roman" w:hAnsi="Times New Roman" w:eastAsia="仿宋_GB2312" w:cs="Times New Roman"/>
                <w:color w:val="000000" w:themeColor="text1"/>
                <w:szCs w:val="21"/>
                <w14:textFill>
                  <w14:solidFill>
                    <w14:schemeClr w14:val="tx1"/>
                  </w14:solidFill>
                </w14:textFill>
              </w:rPr>
              <w:t>第十一条 设置本科层次职业教育专业需有科学规范的专业人才培养方案，具体应具备以下条件：</w:t>
            </w:r>
            <w:r>
              <w:rPr>
                <w:rFonts w:hint="eastAsia" w:ascii="Times New Roman" w:hAnsi="Times New Roman" w:eastAsia="仿宋_GB2312" w:cs="Times New Roman"/>
                <w:color w:val="000000" w:themeColor="text1"/>
                <w:szCs w:val="21"/>
                <w14:textFill>
                  <w14:solidFill>
                    <w14:schemeClr w14:val="tx1"/>
                  </w14:solidFill>
                </w14:textFill>
              </w:rPr>
              <w:cr/>
            </w:r>
            <w:r>
              <w:rPr>
                <w:rFonts w:hint="eastAsia" w:ascii="Times New Roman" w:hAnsi="Times New Roman" w:eastAsia="仿宋_GB2312" w:cs="Times New Roman"/>
                <w:color w:val="000000" w:themeColor="text1"/>
                <w:szCs w:val="21"/>
                <w14:textFill>
                  <w14:solidFill>
                    <w14:schemeClr w14:val="tx1"/>
                  </w14:solidFill>
                </w14:textFill>
              </w:rPr>
              <w:t>（一）培养方案应校企共同制订，需遵循技术技能人才成长规律，突出知识与技能的高层次，使毕业生能够从事科技成果、实验成果转化，生产加工中高端产品、提供中高端服务，能够解决较复杂问题和进行较复杂操作。</w:t>
            </w:r>
            <w:r>
              <w:rPr>
                <w:rFonts w:hint="eastAsia" w:ascii="Times New Roman" w:hAnsi="Times New Roman" w:eastAsia="仿宋_GB2312" w:cs="Times New Roman"/>
                <w:color w:val="000000" w:themeColor="text1"/>
                <w:szCs w:val="21"/>
                <w14:textFill>
                  <w14:solidFill>
                    <w14:schemeClr w14:val="tx1"/>
                  </w14:solidFill>
                </w14:textFill>
              </w:rPr>
              <w:cr/>
            </w:r>
            <w:r>
              <w:rPr>
                <w:rFonts w:hint="eastAsia" w:ascii="Times New Roman" w:hAnsi="Times New Roman" w:eastAsia="仿宋_GB2312" w:cs="Times New Roman"/>
                <w:color w:val="000000" w:themeColor="text1"/>
                <w:szCs w:val="21"/>
                <w14:textFill>
                  <w14:solidFill>
                    <w14:schemeClr w14:val="tx1"/>
                  </w14:solidFill>
                </w14:textFill>
              </w:rPr>
              <w:t>（二）实践教学课时占总课时的比例不低于50%，实验实训项目（任务）开出率达到100%。</w:t>
            </w:r>
            <w:r>
              <w:rPr>
                <w:rFonts w:ascii="Times New Roman" w:hAnsi="Times New Roman" w:eastAsia="仿宋_GB2312" w:cs="Times New Roman"/>
                <w:color w:val="000000" w:themeColor="text1"/>
                <w:szCs w:val="21"/>
                <w14:textFill>
                  <w14:solidFill>
                    <w14:schemeClr w14:val="tx1"/>
                  </w14:solidFill>
                </w14:textFill>
              </w:rPr>
              <w:t>）</w:t>
            </w:r>
          </w:p>
          <w:p>
            <w:pPr>
              <w:pStyle w:val="12"/>
              <w:rPr>
                <w:rFonts w:ascii="Times New Roman" w:hAnsi="Times New Roman" w:eastAsia="仿宋_GB2312" w:cs="Times New Roman"/>
                <w:color w:val="000000" w:themeColor="text1"/>
                <w:szCs w:val="21"/>
                <w:highlight w:val="yellow"/>
                <w14:textFill>
                  <w14:solidFill>
                    <w14:schemeClr w14:val="tx1"/>
                  </w14:solidFill>
                </w14:textFill>
              </w:rPr>
            </w:pPr>
          </w:p>
          <w:p>
            <w:pPr>
              <w:pStyle w:val="12"/>
              <w:spacing w:line="360" w:lineRule="auto"/>
              <w:ind w:firstLine="480" w:firstLineChars="200"/>
              <w:rPr>
                <w:rFonts w:ascii="宋体" w:hAnsi="宋体" w:eastAsia="宋体" w:cs="宋体"/>
                <w:bCs/>
                <w:color w:val="000000" w:themeColor="text1"/>
                <w:kern w:val="0"/>
                <w:sz w:val="24"/>
                <w:szCs w:val="24"/>
                <w:lang w:val="zh-CN" w:bidi="zh-CN"/>
                <w14:textFill>
                  <w14:solidFill>
                    <w14:schemeClr w14:val="tx1"/>
                  </w14:solidFill>
                </w14:textFill>
              </w:rPr>
            </w:pPr>
            <w:r>
              <w:rPr>
                <w:rFonts w:hint="eastAsia" w:ascii="宋体" w:hAnsi="宋体" w:eastAsia="宋体" w:cs="宋体"/>
                <w:bCs/>
                <w:color w:val="000000" w:themeColor="text1"/>
                <w:kern w:val="0"/>
                <w:sz w:val="24"/>
                <w:szCs w:val="24"/>
                <w:lang w:bidi="zh-CN"/>
                <w14:textFill>
                  <w14:solidFill>
                    <w14:schemeClr w14:val="tx1"/>
                  </w14:solidFill>
                </w14:textFill>
              </w:rPr>
              <w:t>《浙江省制造业发展十四五规划》将高端装备、智能装备列入我省重点产业。本专业面向“区域精密制造业、特色文创产品制造业”、“现代机械制造领域生产第一线”培养高素质应用型工程技术人才的培养目标，</w:t>
            </w:r>
            <w:r>
              <w:rPr>
                <w:rFonts w:hint="eastAsia" w:ascii="宋体" w:hAnsi="宋体" w:eastAsia="宋体" w:cs="宋体"/>
                <w:b/>
                <w:color w:val="000000" w:themeColor="text1"/>
                <w:kern w:val="0"/>
                <w:sz w:val="24"/>
                <w:szCs w:val="24"/>
                <w:lang w:bidi="zh-CN"/>
                <w14:textFill>
                  <w14:solidFill>
                    <w14:schemeClr w14:val="tx1"/>
                  </w14:solidFill>
                </w14:textFill>
              </w:rPr>
              <w:t>地方滚动功能部件产业协会、吉祥科技、欧亿等地方龙头企业共同参与，</w:t>
            </w:r>
            <w:r>
              <w:rPr>
                <w:rFonts w:hint="eastAsia" w:ascii="宋体" w:hAnsi="宋体" w:eastAsia="宋体" w:cs="宋体"/>
                <w:bCs/>
                <w:color w:val="000000" w:themeColor="text1"/>
                <w:kern w:val="0"/>
                <w:sz w:val="24"/>
                <w:szCs w:val="24"/>
                <w:lang w:bidi="zh-CN"/>
                <w14:textFill>
                  <w14:solidFill>
                    <w14:schemeClr w14:val="tx1"/>
                  </w14:solidFill>
                </w14:textFill>
              </w:rPr>
              <w:t>构建了一套与毕业要求相适应的“理论课程体系、实践教学体系、自主研学体系”三位一体，学校培养、企业培养相衔接的课程体系。开设《智能产线装调维护》、《机器视觉智能检测技术》等课程，培养紧缺性智能控制人才。专业培养目标定位符合区域产业人才需求特点，为区域经济社会发展提供有力人才支撑。</w:t>
            </w:r>
          </w:p>
          <w:p>
            <w:pPr>
              <w:snapToGrid w:val="0"/>
              <w:jc w:val="left"/>
              <w:rPr>
                <w:rFonts w:ascii="Times New Roman" w:hAnsi="Times New Roman" w:eastAsia="方正仿宋简体" w:cs="Times New Roman"/>
                <w:color w:val="000000" w:themeColor="text1"/>
                <w:sz w:val="18"/>
                <w:szCs w:val="18"/>
                <w14:textFill>
                  <w14:solidFill>
                    <w14:schemeClr w14:val="tx1"/>
                  </w14:solidFill>
                </w14:textFill>
              </w:rPr>
            </w:pPr>
          </w:p>
          <w:p>
            <w:pPr>
              <w:widowControl/>
              <w:spacing w:line="360" w:lineRule="auto"/>
              <w:jc w:val="left"/>
              <w:rPr>
                <w:rFonts w:ascii="Times New Roman" w:hAnsi="Times New Roman" w:eastAsia="方正仿宋简体" w:cs="Times New Roman"/>
                <w:color w:val="000000" w:themeColor="text1"/>
                <w:sz w:val="18"/>
                <w:szCs w:val="18"/>
                <w14:textFill>
                  <w14:solidFill>
                    <w14:schemeClr w14:val="tx1"/>
                  </w14:solidFill>
                </w14:textFill>
              </w:rPr>
            </w:pPr>
            <w:r>
              <w:rPr>
                <w:rFonts w:hint="eastAsia" w:ascii="黑体" w:hAnsi="黑体" w:eastAsia="黑体" w:cs="宋体"/>
                <w:bCs/>
                <w:color w:val="000000" w:themeColor="text1"/>
                <w:kern w:val="0"/>
                <w:sz w:val="24"/>
                <w:szCs w:val="24"/>
                <w:lang w:bidi="zh-CN"/>
                <w14:textFill>
                  <w14:solidFill>
                    <w14:schemeClr w14:val="tx1"/>
                  </w14:solidFill>
                </w14:textFill>
              </w:rPr>
              <w:t>一、</w:t>
            </w:r>
            <w:r>
              <w:rPr>
                <w:rFonts w:hint="eastAsia" w:ascii="黑体" w:hAnsi="黑体" w:eastAsia="黑体" w:cs="宋体"/>
                <w:bCs/>
                <w:color w:val="000000" w:themeColor="text1"/>
                <w:kern w:val="0"/>
                <w:sz w:val="24"/>
                <w:szCs w:val="24"/>
                <w:lang w:val="zh-CN" w:bidi="zh-CN"/>
                <w14:textFill>
                  <w14:solidFill>
                    <w14:schemeClr w14:val="tx1"/>
                  </w14:solidFill>
                </w14:textFill>
              </w:rPr>
              <w:t>培养目标</w:t>
            </w:r>
          </w:p>
          <w:p>
            <w:pPr>
              <w:snapToGrid w:val="0"/>
              <w:spacing w:line="360" w:lineRule="auto"/>
              <w:ind w:firstLine="480" w:firstLineChars="200"/>
              <w:jc w:val="left"/>
              <w:rPr>
                <w:rFonts w:ascii="宋体" w:hAnsi="宋体" w:eastAsia="宋体" w:cs="宋体"/>
                <w:bCs/>
                <w:color w:val="000000" w:themeColor="text1"/>
                <w:kern w:val="0"/>
                <w:sz w:val="24"/>
                <w:szCs w:val="24"/>
                <w:lang w:val="zh-CN" w:bidi="zh-CN"/>
                <w14:textFill>
                  <w14:solidFill>
                    <w14:schemeClr w14:val="tx1"/>
                  </w14:solidFill>
                </w14:textFill>
              </w:rPr>
            </w:pPr>
            <w:r>
              <w:rPr>
                <w:rFonts w:hint="eastAsia" w:ascii="宋体" w:hAnsi="宋体" w:eastAsia="宋体" w:cs="宋体"/>
                <w:bCs/>
                <w:color w:val="000000" w:themeColor="text1"/>
                <w:kern w:val="0"/>
                <w:sz w:val="24"/>
                <w:szCs w:val="24"/>
                <w:lang w:val="zh-CN" w:bidi="zh-CN"/>
                <w14:textFill>
                  <w14:solidFill>
                    <w14:schemeClr w14:val="tx1"/>
                  </w14:solidFill>
                </w14:textFill>
              </w:rPr>
              <w:t>本专业适应区域传统制造业智能转型升级需要，培养理想信念坚定、德技并修，德、智、体、美、劳全面发展，具有良好“人文素养、职业素养、技术技能素养”，能够系统的掌握智能控制技术领域所必须的专业基础理论和知识以及相关法律法规，具备对智能控制领域科技成果、实验成果进行转化的能力，具有智能产线、数字车间的现场管理能力，能够从事智能制造控制系统设计、安装、调试等工作，具有创新精神和发展潜力，能够适应和胜任智能控制领域所需要的技能操作、生产管理、工程设计及技术开发等岗位的高层次创新型技术技能人才。</w:t>
            </w:r>
          </w:p>
          <w:p>
            <w:pPr>
              <w:widowControl/>
              <w:numPr>
                <w:ilvl w:val="0"/>
                <w:numId w:val="1"/>
              </w:numPr>
              <w:spacing w:line="360" w:lineRule="auto"/>
              <w:jc w:val="left"/>
              <w:rPr>
                <w:rFonts w:ascii="宋体" w:hAnsi="宋体" w:eastAsia="宋体" w:cs="宋体"/>
                <w:bCs/>
                <w:color w:val="000000" w:themeColor="text1"/>
                <w:kern w:val="0"/>
                <w:sz w:val="24"/>
                <w:szCs w:val="24"/>
                <w:lang w:bidi="zh-CN"/>
                <w14:textFill>
                  <w14:solidFill>
                    <w14:schemeClr w14:val="tx1"/>
                  </w14:solidFill>
                </w14:textFill>
              </w:rPr>
            </w:pPr>
            <w:r>
              <w:rPr>
                <w:rFonts w:hint="eastAsia" w:ascii="黑体" w:hAnsi="黑体" w:eastAsia="黑体" w:cs="宋体"/>
                <w:bCs/>
                <w:color w:val="000000" w:themeColor="text1"/>
                <w:kern w:val="0"/>
                <w:sz w:val="24"/>
                <w:szCs w:val="24"/>
                <w:lang w:val="zh-CN" w:bidi="zh-CN"/>
                <w14:textFill>
                  <w14:solidFill>
                    <w14:schemeClr w14:val="tx1"/>
                  </w14:solidFill>
                </w14:textFill>
              </w:rPr>
              <w:t>培养规格</w:t>
            </w:r>
          </w:p>
          <w:p>
            <w:pPr>
              <w:snapToGrid w:val="0"/>
              <w:spacing w:line="360" w:lineRule="auto"/>
              <w:ind w:firstLine="480" w:firstLineChars="200"/>
              <w:jc w:val="left"/>
              <w:rPr>
                <w:rFonts w:ascii="宋体" w:hAnsi="宋体" w:eastAsia="宋体" w:cs="宋体"/>
                <w:bCs/>
                <w:color w:val="000000" w:themeColor="text1"/>
                <w:kern w:val="0"/>
                <w:sz w:val="24"/>
                <w:szCs w:val="24"/>
                <w:lang w:bidi="zh-CN"/>
                <w14:textFill>
                  <w14:solidFill>
                    <w14:schemeClr w14:val="tx1"/>
                  </w14:solidFill>
                </w14:textFill>
              </w:rPr>
            </w:pPr>
            <w:r>
              <w:rPr>
                <w:rFonts w:hint="eastAsia" w:ascii="宋体" w:hAnsi="宋体" w:eastAsia="宋体" w:cs="宋体"/>
                <w:bCs/>
                <w:color w:val="000000" w:themeColor="text1"/>
                <w:kern w:val="0"/>
                <w:sz w:val="24"/>
                <w:szCs w:val="24"/>
                <w:lang w:bidi="zh-CN"/>
                <w14:textFill>
                  <w14:solidFill>
                    <w14:schemeClr w14:val="tx1"/>
                  </w14:solidFill>
                </w14:textFill>
              </w:rPr>
              <w:t>与高职人才培养目标相比</w:t>
            </w:r>
            <w:r>
              <w:rPr>
                <w:rFonts w:hint="eastAsia" w:ascii="宋体" w:hAnsi="宋体" w:eastAsia="宋体" w:cs="宋体"/>
                <w:bCs/>
                <w:color w:val="000000" w:themeColor="text1"/>
                <w:kern w:val="0"/>
                <w:sz w:val="24"/>
                <w:szCs w:val="24"/>
                <w:lang w:val="zh-CN" w:bidi="zh-CN"/>
                <w14:textFill>
                  <w14:solidFill>
                    <w14:schemeClr w14:val="tx1"/>
                  </w14:solidFill>
                </w14:textFill>
              </w:rPr>
              <w:t>加强通识课和专业基础课，增强职业适应性。</w:t>
            </w:r>
            <w:r>
              <w:rPr>
                <w:rFonts w:hint="eastAsia" w:ascii="宋体" w:hAnsi="宋体" w:eastAsia="宋体" w:cs="宋体"/>
                <w:bCs/>
                <w:color w:val="000000" w:themeColor="text1"/>
                <w:kern w:val="0"/>
                <w:sz w:val="24"/>
                <w:szCs w:val="24"/>
                <w:lang w:bidi="zh-CN"/>
                <w14:textFill>
                  <w14:solidFill>
                    <w14:schemeClr w14:val="tx1"/>
                  </w14:solidFill>
                </w14:textFill>
              </w:rPr>
              <w:t>结合智能控制专业特点要求学生</w:t>
            </w:r>
            <w:r>
              <w:rPr>
                <w:rFonts w:hint="eastAsia" w:ascii="宋体" w:hAnsi="宋体" w:eastAsia="宋体" w:cs="宋体"/>
                <w:bCs/>
                <w:color w:val="000000" w:themeColor="text1"/>
                <w:kern w:val="0"/>
                <w:sz w:val="24"/>
                <w:szCs w:val="24"/>
                <w:lang w:val="zh-CN" w:bidi="zh-CN"/>
                <w14:textFill>
                  <w14:solidFill>
                    <w14:schemeClr w14:val="tx1"/>
                  </w14:solidFill>
                </w14:textFill>
              </w:rPr>
              <w:t>具备工业网络组建、数字孪生技术和机器视觉应用能力；具备复杂智能制造控制系统设计、安装、调试能力；具备智能产线、未来工厂的现场管理能力；</w:t>
            </w:r>
            <w:r>
              <w:rPr>
                <w:rFonts w:hint="eastAsia" w:ascii="宋体" w:hAnsi="宋体" w:eastAsia="宋体" w:cs="宋体"/>
                <w:bCs/>
                <w:color w:val="000000" w:themeColor="text1"/>
                <w:kern w:val="0"/>
                <w:sz w:val="24"/>
                <w:szCs w:val="24"/>
                <w:lang w:bidi="zh-CN"/>
                <w14:textFill>
                  <w14:solidFill>
                    <w14:schemeClr w14:val="tx1"/>
                  </w14:solidFill>
                </w14:textFill>
              </w:rPr>
              <w:t>特别强调要</w:t>
            </w:r>
            <w:r>
              <w:rPr>
                <w:rFonts w:hint="eastAsia" w:ascii="宋体" w:hAnsi="宋体" w:eastAsia="宋体" w:cs="宋体"/>
                <w:bCs/>
                <w:color w:val="000000" w:themeColor="text1"/>
                <w:kern w:val="0"/>
                <w:sz w:val="24"/>
                <w:szCs w:val="24"/>
                <w:lang w:val="zh-CN" w:bidi="zh-CN"/>
                <w14:textFill>
                  <w14:solidFill>
                    <w14:schemeClr w14:val="tx1"/>
                  </w14:solidFill>
                </w14:textFill>
              </w:rPr>
              <w:t>提升创新意识和能力，</w:t>
            </w:r>
            <w:r>
              <w:rPr>
                <w:rFonts w:hint="eastAsia" w:ascii="宋体" w:hAnsi="宋体" w:eastAsia="宋体" w:cs="宋体"/>
                <w:bCs/>
                <w:color w:val="000000" w:themeColor="text1"/>
                <w:kern w:val="0"/>
                <w:sz w:val="24"/>
                <w:szCs w:val="24"/>
                <w:lang w:bidi="zh-CN"/>
                <w14:textFill>
                  <w14:solidFill>
                    <w14:schemeClr w14:val="tx1"/>
                  </w14:solidFill>
                </w14:textFill>
              </w:rPr>
              <w:t>使学生</w:t>
            </w:r>
            <w:r>
              <w:rPr>
                <w:rFonts w:hint="eastAsia" w:ascii="宋体" w:hAnsi="宋体" w:eastAsia="宋体" w:cs="宋体"/>
                <w:bCs/>
                <w:color w:val="000000" w:themeColor="text1"/>
                <w:kern w:val="0"/>
                <w:sz w:val="24"/>
                <w:szCs w:val="24"/>
                <w:lang w:val="zh-CN" w:bidi="zh-CN"/>
                <w14:textFill>
                  <w14:solidFill>
                    <w14:schemeClr w14:val="tx1"/>
                  </w14:solidFill>
                </w14:textFill>
              </w:rPr>
              <w:t>具备对本专业科技成果、实验成果进行转化的能力。</w:t>
            </w:r>
            <w:r>
              <w:rPr>
                <w:rFonts w:hint="eastAsia" w:ascii="宋体" w:hAnsi="宋体" w:eastAsia="宋体" w:cs="宋体"/>
                <w:bCs/>
                <w:color w:val="000000" w:themeColor="text1"/>
                <w:kern w:val="0"/>
                <w:sz w:val="24"/>
                <w:szCs w:val="24"/>
                <w:lang w:bidi="zh-CN"/>
                <w14:textFill>
                  <w14:solidFill>
                    <w14:schemeClr w14:val="tx1"/>
                  </w14:solidFill>
                </w14:textFill>
              </w:rPr>
              <w:t>具体详见附件智能控制技术人才培养方案。</w:t>
            </w:r>
          </w:p>
          <w:p>
            <w:pPr>
              <w:widowControl/>
              <w:spacing w:line="360" w:lineRule="auto"/>
              <w:jc w:val="left"/>
              <w:rPr>
                <w:rFonts w:ascii="黑体" w:hAnsi="黑体" w:eastAsia="黑体" w:cs="宋体"/>
                <w:bCs/>
                <w:color w:val="000000" w:themeColor="text1"/>
                <w:kern w:val="0"/>
                <w:sz w:val="24"/>
                <w:szCs w:val="24"/>
                <w:lang w:val="zh-CN" w:bidi="zh-CN"/>
                <w14:textFill>
                  <w14:solidFill>
                    <w14:schemeClr w14:val="tx1"/>
                  </w14:solidFill>
                </w14:textFill>
              </w:rPr>
            </w:pPr>
            <w:r>
              <w:rPr>
                <w:rFonts w:hint="eastAsia" w:ascii="黑体" w:hAnsi="黑体" w:eastAsia="黑体" w:cs="宋体"/>
                <w:bCs/>
                <w:color w:val="000000" w:themeColor="text1"/>
                <w:kern w:val="0"/>
                <w:sz w:val="24"/>
                <w:szCs w:val="24"/>
                <w:lang w:bidi="zh-CN"/>
                <w14:textFill>
                  <w14:solidFill>
                    <w14:schemeClr w14:val="tx1"/>
                  </w14:solidFill>
                </w14:textFill>
              </w:rPr>
              <w:t>三、</w:t>
            </w:r>
            <w:r>
              <w:rPr>
                <w:rFonts w:hint="eastAsia" w:ascii="黑体" w:hAnsi="黑体" w:eastAsia="黑体" w:cs="宋体"/>
                <w:bCs/>
                <w:color w:val="000000" w:themeColor="text1"/>
                <w:kern w:val="0"/>
                <w:sz w:val="24"/>
                <w:szCs w:val="24"/>
                <w:lang w:val="zh-CN" w:bidi="zh-CN"/>
                <w14:textFill>
                  <w14:solidFill>
                    <w14:schemeClr w14:val="tx1"/>
                  </w14:solidFill>
                </w14:textFill>
              </w:rPr>
              <w:t>课程设置</w:t>
            </w:r>
          </w:p>
          <w:p>
            <w:pPr>
              <w:pStyle w:val="12"/>
              <w:spacing w:line="360" w:lineRule="auto"/>
              <w:ind w:firstLine="480" w:firstLineChars="200"/>
              <w:rPr>
                <w:rFonts w:ascii="宋体" w:hAnsi="宋体" w:eastAsia="宋体" w:cs="宋体"/>
                <w:bCs/>
                <w:color w:val="000000" w:themeColor="text1"/>
                <w:kern w:val="0"/>
                <w:sz w:val="24"/>
                <w:szCs w:val="24"/>
                <w:lang w:bidi="zh-CN"/>
                <w14:textFill>
                  <w14:solidFill>
                    <w14:schemeClr w14:val="tx1"/>
                  </w14:solidFill>
                </w14:textFill>
              </w:rPr>
            </w:pPr>
            <w:r>
              <w:rPr>
                <w:rFonts w:hint="eastAsia" w:ascii="宋体" w:hAnsi="宋体" w:eastAsia="宋体" w:cs="宋体"/>
                <w:bCs/>
                <w:color w:val="000000" w:themeColor="text1"/>
                <w:kern w:val="0"/>
                <w:sz w:val="24"/>
                <w:szCs w:val="24"/>
                <w:lang w:val="zh-CN" w:bidi="zh-CN"/>
                <w14:textFill>
                  <w14:solidFill>
                    <w14:schemeClr w14:val="tx1"/>
                  </w14:solidFill>
                </w14:textFill>
              </w:rPr>
              <w:t>本专业开设的主要课程有大学物理、工程数学、变频器与运动控制技术、机器视觉智能检测技术、智能生产线数字化设计与仿真、智能控制原理与系统、人工智能基础与应用、Python程序设计、机械设计与创新、工程材料与热成型工艺、生产现场管理、电力电子技术、嵌入式系统原理及其应用、现代控制理论、Matlab应用</w:t>
            </w:r>
            <w:r>
              <w:rPr>
                <w:rFonts w:hint="eastAsia" w:ascii="宋体" w:hAnsi="宋体" w:eastAsia="宋体" w:cs="宋体"/>
                <w:bCs/>
                <w:color w:val="000000" w:themeColor="text1"/>
                <w:kern w:val="0"/>
                <w:sz w:val="24"/>
                <w:szCs w:val="24"/>
                <w:lang w:bidi="zh-CN"/>
                <w14:textFill>
                  <w14:solidFill>
                    <w14:schemeClr w14:val="tx1"/>
                  </w14:solidFill>
                </w14:textFill>
              </w:rPr>
              <w:t>等。合计总学时1440，其中理论学时664，实践学时880，</w:t>
            </w:r>
            <w:r>
              <w:rPr>
                <w:rFonts w:hint="eastAsia" w:ascii="宋体" w:hAnsi="宋体" w:eastAsia="宋体" w:cs="宋体"/>
                <w:b/>
                <w:color w:val="000000" w:themeColor="text1"/>
                <w:kern w:val="0"/>
                <w:sz w:val="24"/>
                <w:szCs w:val="24"/>
                <w:lang w:bidi="zh-CN"/>
                <w14:textFill>
                  <w14:solidFill>
                    <w14:schemeClr w14:val="tx1"/>
                  </w14:solidFill>
                </w14:textFill>
              </w:rPr>
              <w:t>实践教学课时占总课时56.99%。</w:t>
            </w:r>
          </w:p>
          <w:p>
            <w:pPr>
              <w:widowControl/>
              <w:spacing w:line="360" w:lineRule="auto"/>
              <w:jc w:val="left"/>
              <w:rPr>
                <w:rFonts w:ascii="黑体" w:hAnsi="黑体" w:eastAsia="黑体" w:cs="宋体"/>
                <w:bCs/>
                <w:color w:val="000000" w:themeColor="text1"/>
                <w:kern w:val="0"/>
                <w:sz w:val="24"/>
                <w:szCs w:val="24"/>
                <w:lang w:bidi="zh-CN"/>
                <w14:textFill>
                  <w14:solidFill>
                    <w14:schemeClr w14:val="tx1"/>
                  </w14:solidFill>
                </w14:textFill>
              </w:rPr>
            </w:pPr>
            <w:r>
              <w:rPr>
                <w:rFonts w:hint="eastAsia" w:ascii="黑体" w:hAnsi="黑体" w:eastAsia="黑体" w:cs="宋体"/>
                <w:bCs/>
                <w:color w:val="000000" w:themeColor="text1"/>
                <w:kern w:val="0"/>
                <w:sz w:val="24"/>
                <w:szCs w:val="24"/>
                <w:lang w:bidi="zh-CN"/>
                <w14:textFill>
                  <w14:solidFill>
                    <w14:schemeClr w14:val="tx1"/>
                  </w14:solidFill>
                </w14:textFill>
              </w:rPr>
              <w:t>四、毕业要求</w:t>
            </w:r>
          </w:p>
          <w:p>
            <w:pPr>
              <w:pStyle w:val="12"/>
              <w:spacing w:line="360" w:lineRule="auto"/>
              <w:rPr>
                <w:color w:val="000000" w:themeColor="text1"/>
                <w14:textFill>
                  <w14:solidFill>
                    <w14:schemeClr w14:val="tx1"/>
                  </w14:solidFill>
                </w14:textFill>
              </w:rPr>
            </w:pPr>
            <w:r>
              <w:rPr>
                <w:rFonts w:hint="eastAsia" w:ascii="宋体" w:hAnsi="宋体" w:eastAsia="宋体" w:cs="宋体"/>
                <w:bCs/>
                <w:color w:val="000000" w:themeColor="text1"/>
                <w:kern w:val="0"/>
                <w:sz w:val="24"/>
                <w:szCs w:val="24"/>
                <w:lang w:val="zh-CN" w:bidi="zh-CN"/>
                <w14:textFill>
                  <w14:solidFill>
                    <w14:schemeClr w14:val="tx1"/>
                  </w14:solidFill>
                </w14:textFill>
              </w:rPr>
              <w:t>（1）</w:t>
            </w:r>
            <w:r>
              <w:rPr>
                <w:rFonts w:hint="eastAsia" w:ascii="宋体" w:hAnsi="宋体" w:eastAsia="宋体" w:cs="宋体"/>
                <w:bCs/>
                <w:color w:val="000000" w:themeColor="text1"/>
                <w:kern w:val="0"/>
                <w:sz w:val="24"/>
                <w:szCs w:val="24"/>
                <w:lang w:bidi="zh-CN"/>
                <w14:textFill>
                  <w14:solidFill>
                    <w14:schemeClr w14:val="tx1"/>
                  </w14:solidFill>
                </w14:textFill>
              </w:rPr>
              <w:t>学分要求</w:t>
            </w:r>
          </w:p>
          <w:p>
            <w:pPr>
              <w:pStyle w:val="12"/>
              <w:spacing w:line="360" w:lineRule="auto"/>
              <w:ind w:firstLine="480" w:firstLineChars="200"/>
              <w:rPr>
                <w:rFonts w:ascii="宋体" w:hAnsi="宋体" w:eastAsia="宋体" w:cs="宋体"/>
                <w:bCs/>
                <w:color w:val="000000" w:themeColor="text1"/>
                <w:kern w:val="0"/>
                <w:sz w:val="24"/>
                <w:szCs w:val="24"/>
                <w:lang w:bidi="zh-CN"/>
                <w14:textFill>
                  <w14:solidFill>
                    <w14:schemeClr w14:val="tx1"/>
                  </w14:solidFill>
                </w14:textFill>
              </w:rPr>
            </w:pPr>
            <w:r>
              <w:rPr>
                <w:rFonts w:hint="eastAsia" w:ascii="宋体" w:hAnsi="宋体" w:eastAsia="宋体" w:cs="宋体"/>
                <w:bCs/>
                <w:color w:val="000000" w:themeColor="text1"/>
                <w:kern w:val="0"/>
                <w:sz w:val="24"/>
                <w:szCs w:val="24"/>
                <w:lang w:bidi="zh-CN"/>
                <w14:textFill>
                  <w14:solidFill>
                    <w14:schemeClr w14:val="tx1"/>
                  </w14:solidFill>
                </w14:textFill>
              </w:rPr>
              <w:t>本专业学生毕业时，除了要达到培养规格中知识、能力和素质要求外，还规定学生须修满各课程模块，应满</w:t>
            </w:r>
            <w:r>
              <w:rPr>
                <w:rFonts w:hint="eastAsia" w:ascii="宋体" w:hAnsi="宋体" w:cs="Times New Roman"/>
                <w:bCs/>
                <w:color w:val="000000" w:themeColor="text1"/>
                <w:sz w:val="24"/>
                <w14:textFill>
                  <w14:solidFill>
                    <w14:schemeClr w14:val="tx1"/>
                  </w14:solidFill>
                </w14:textFill>
              </w:rPr>
              <w:t>97.5</w:t>
            </w:r>
            <w:r>
              <w:rPr>
                <w:rFonts w:hint="eastAsia" w:ascii="宋体" w:hAnsi="宋体" w:eastAsia="宋体" w:cs="宋体"/>
                <w:bCs/>
                <w:color w:val="000000" w:themeColor="text1"/>
                <w:kern w:val="0"/>
                <w:sz w:val="24"/>
                <w:szCs w:val="24"/>
                <w:lang w:bidi="zh-CN"/>
                <w14:textFill>
                  <w14:solidFill>
                    <w14:schemeClr w14:val="tx1"/>
                  </w14:solidFill>
                </w14:textFill>
              </w:rPr>
              <w:t>学分。并且德育、体测全部合格后方准毕业。</w:t>
            </w:r>
          </w:p>
          <w:p>
            <w:pPr>
              <w:pStyle w:val="12"/>
              <w:spacing w:line="360" w:lineRule="auto"/>
              <w:rPr>
                <w:color w:val="000000" w:themeColor="text1"/>
                <w14:textFill>
                  <w14:solidFill>
                    <w14:schemeClr w14:val="tx1"/>
                  </w14:solidFill>
                </w14:textFill>
              </w:rPr>
            </w:pPr>
            <w:r>
              <w:rPr>
                <w:rFonts w:hint="eastAsia" w:ascii="宋体" w:hAnsi="宋体" w:eastAsia="宋体" w:cs="宋体"/>
                <w:bCs/>
                <w:color w:val="000000" w:themeColor="text1"/>
                <w:kern w:val="0"/>
                <w:sz w:val="24"/>
                <w:szCs w:val="24"/>
                <w:lang w:val="zh-CN" w:bidi="zh-CN"/>
                <w14:textFill>
                  <w14:solidFill>
                    <w14:schemeClr w14:val="tx1"/>
                  </w14:solidFill>
                </w14:textFill>
              </w:rPr>
              <w:t>（</w:t>
            </w:r>
            <w:r>
              <w:rPr>
                <w:rFonts w:hint="eastAsia" w:ascii="宋体" w:hAnsi="宋体" w:eastAsia="宋体" w:cs="宋体"/>
                <w:bCs/>
                <w:color w:val="000000" w:themeColor="text1"/>
                <w:kern w:val="0"/>
                <w:sz w:val="24"/>
                <w:szCs w:val="24"/>
                <w:lang w:bidi="zh-CN"/>
                <w14:textFill>
                  <w14:solidFill>
                    <w14:schemeClr w14:val="tx1"/>
                  </w14:solidFill>
                </w14:textFill>
              </w:rPr>
              <w:t>2</w:t>
            </w:r>
            <w:r>
              <w:rPr>
                <w:rFonts w:hint="eastAsia" w:ascii="宋体" w:hAnsi="宋体" w:eastAsia="宋体" w:cs="宋体"/>
                <w:bCs/>
                <w:color w:val="000000" w:themeColor="text1"/>
                <w:kern w:val="0"/>
                <w:sz w:val="24"/>
                <w:szCs w:val="24"/>
                <w:lang w:val="zh-CN" w:bidi="zh-CN"/>
                <w14:textFill>
                  <w14:solidFill>
                    <w14:schemeClr w14:val="tx1"/>
                  </w14:solidFill>
                </w14:textFill>
              </w:rPr>
              <w:t>）</w:t>
            </w:r>
            <w:r>
              <w:rPr>
                <w:rFonts w:hint="eastAsia" w:ascii="宋体" w:hAnsi="宋体" w:eastAsia="宋体" w:cs="宋体"/>
                <w:bCs/>
                <w:color w:val="000000" w:themeColor="text1"/>
                <w:kern w:val="0"/>
                <w:sz w:val="24"/>
                <w:szCs w:val="24"/>
                <w:lang w:bidi="zh-CN"/>
                <w14:textFill>
                  <w14:solidFill>
                    <w14:schemeClr w14:val="tx1"/>
                  </w14:solidFill>
                </w14:textFill>
              </w:rPr>
              <w:t>证书要求</w:t>
            </w:r>
          </w:p>
          <w:p>
            <w:pPr>
              <w:pStyle w:val="12"/>
              <w:spacing w:line="360" w:lineRule="auto"/>
              <w:ind w:firstLine="480" w:firstLineChars="200"/>
              <w:rPr>
                <w:rFonts w:ascii="宋体" w:hAnsi="宋体" w:cs="宋体"/>
                <w:bCs/>
                <w:color w:val="000000" w:themeColor="text1"/>
                <w:kern w:val="0"/>
                <w:sz w:val="24"/>
                <w:szCs w:val="24"/>
                <w:lang w:bidi="zh-CN"/>
                <w14:textFill>
                  <w14:solidFill>
                    <w14:schemeClr w14:val="tx1"/>
                  </w14:solidFill>
                </w14:textFill>
              </w:rPr>
            </w:pPr>
            <w:r>
              <w:rPr>
                <w:rFonts w:hint="eastAsia" w:ascii="宋体" w:hAnsi="宋体" w:cs="Times New Roman"/>
                <w:bCs/>
                <w:color w:val="000000" w:themeColor="text1"/>
                <w:sz w:val="24"/>
                <w14:textFill>
                  <w14:solidFill>
                    <w14:schemeClr w14:val="tx1"/>
                  </w14:solidFill>
                </w14:textFill>
              </w:rPr>
              <w:t>应至少取得1项本专业相关职业技能等级证书。</w:t>
            </w:r>
          </w:p>
          <w:p>
            <w:pPr>
              <w:snapToGrid w:val="0"/>
              <w:jc w:val="left"/>
              <w:rPr>
                <w:rFonts w:ascii="Times New Roman" w:hAnsi="Times New Roman" w:eastAsia="方正仿宋简体" w:cs="Times New Roman"/>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5" w:hRule="atLeast"/>
          <w:jc w:val="center"/>
        </w:trPr>
        <w:tc>
          <w:tcPr>
            <w:tcW w:w="888"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办学条件概要</w:t>
            </w:r>
          </w:p>
        </w:tc>
        <w:tc>
          <w:tcPr>
            <w:tcW w:w="7844" w:type="dxa"/>
            <w:gridSpan w:val="4"/>
          </w:tcPr>
          <w:p>
            <w:pPr>
              <w:snapToGrid w:val="0"/>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（对应《办法》第十二条填写，不超过800字）</w:t>
            </w:r>
          </w:p>
          <w:p>
            <w:pPr>
              <w:pStyle w:val="12"/>
              <w:rPr>
                <w:color w:val="000000" w:themeColor="text1"/>
                <w14:textFill>
                  <w14:solidFill>
                    <w14:schemeClr w14:val="tx1"/>
                  </w14:solidFill>
                </w14:textFill>
              </w:rPr>
            </w:pPr>
            <w:r>
              <w:rPr>
                <w:color w:val="000000" w:themeColor="text1"/>
                <w14:textFill>
                  <w14:solidFill>
                    <w14:schemeClr w14:val="tx1"/>
                  </w14:solidFill>
                </w14:textFill>
              </w:rPr>
              <w:t>（办法</w:t>
            </w:r>
            <w:r>
              <w:rPr>
                <w:rFonts w:hint="eastAsia"/>
                <w:color w:val="000000" w:themeColor="text1"/>
                <w14:textFill>
                  <w14:solidFill>
                    <w14:schemeClr w14:val="tx1"/>
                  </w14:solidFill>
                </w14:textFill>
              </w:rPr>
              <w:t>第十二条 设置本科层次职业教育专业需具备开办专业所必需的合作企业、经费、校舍、仪器设备、实习实训场所等办学条件：</w:t>
            </w:r>
            <w:r>
              <w:rPr>
                <w:rFonts w:hint="eastAsia"/>
                <w:color w:val="000000" w:themeColor="text1"/>
                <w14:textFill>
                  <w14:solidFill>
                    <w14:schemeClr w14:val="tx1"/>
                  </w14:solidFill>
                </w14:textFill>
              </w:rPr>
              <w:cr/>
            </w:r>
            <w:r>
              <w:rPr>
                <w:rFonts w:hint="eastAsia"/>
                <w:color w:val="000000" w:themeColor="text1"/>
                <w14:textFill>
                  <w14:solidFill>
                    <w14:schemeClr w14:val="tx1"/>
                  </w14:solidFill>
                </w14:textFill>
              </w:rPr>
              <w:t>（一）应与相关领域产教融合型企业等优质企业建立稳定合作关系。积极探索现代学徒制等培养模式，促进学历证书与职业技能等级证书互通衔接。</w:t>
            </w:r>
            <w:r>
              <w:rPr>
                <w:rFonts w:hint="eastAsia"/>
                <w:color w:val="000000" w:themeColor="text1"/>
                <w14:textFill>
                  <w14:solidFill>
                    <w14:schemeClr w14:val="tx1"/>
                  </w14:solidFill>
                </w14:textFill>
              </w:rPr>
              <w:cr/>
            </w:r>
            <w:r>
              <w:rPr>
                <w:rFonts w:hint="eastAsia"/>
                <w:color w:val="000000" w:themeColor="text1"/>
                <w14:textFill>
                  <w14:solidFill>
                    <w14:schemeClr w14:val="tx1"/>
                  </w14:solidFill>
                </w14:textFill>
              </w:rPr>
              <w:t>（二）有稳定的、可持续使用的专业建设经费并逐年增长。专业生均教学科研仪器设备值原则上不低于1万元。</w:t>
            </w:r>
            <w:r>
              <w:rPr>
                <w:rFonts w:hint="eastAsia"/>
                <w:color w:val="000000" w:themeColor="text1"/>
                <w14:textFill>
                  <w14:solidFill>
                    <w14:schemeClr w14:val="tx1"/>
                  </w14:solidFill>
                </w14:textFill>
              </w:rPr>
              <w:cr/>
            </w:r>
            <w:r>
              <w:rPr>
                <w:rFonts w:hint="eastAsia"/>
                <w:color w:val="000000" w:themeColor="text1"/>
                <w14:textFill>
                  <w14:solidFill>
                    <w14:schemeClr w14:val="tx1"/>
                  </w14:solidFill>
                </w14:textFill>
              </w:rPr>
              <w:t>（三）有稳定的、数量够用的实训基地，满足师生实习实训（培训）需求。</w:t>
            </w:r>
            <w:r>
              <w:rPr>
                <w:color w:val="000000" w:themeColor="text1"/>
                <w14:textFill>
                  <w14:solidFill>
                    <w14:schemeClr w14:val="tx1"/>
                  </w14:solidFill>
                </w14:textFill>
              </w:rPr>
              <w:t>）</w:t>
            </w:r>
          </w:p>
          <w:p>
            <w:pPr>
              <w:snapToGrid w:val="0"/>
              <w:jc w:val="left"/>
              <w:rPr>
                <w:rFonts w:ascii="Times New Roman" w:hAnsi="Times New Roman" w:eastAsia="方正仿宋简体" w:cs="Times New Roman"/>
                <w:color w:val="000000" w:themeColor="text1"/>
                <w:sz w:val="18"/>
                <w:szCs w:val="18"/>
                <w14:textFill>
                  <w14:solidFill>
                    <w14:schemeClr w14:val="tx1"/>
                  </w14:solidFill>
                </w14:textFill>
              </w:rPr>
            </w:pPr>
          </w:p>
          <w:p>
            <w:pPr>
              <w:snapToGrid w:val="0"/>
              <w:spacing w:line="360" w:lineRule="auto"/>
              <w:ind w:firstLine="480" w:firstLineChars="200"/>
              <w:jc w:val="left"/>
              <w:rPr>
                <w:rFonts w:ascii="宋体" w:hAnsi="宋体" w:cs="Times New Roman"/>
                <w:bCs/>
                <w:color w:val="000000" w:themeColor="text1"/>
                <w:sz w:val="24"/>
                <w14:textFill>
                  <w14:solidFill>
                    <w14:schemeClr w14:val="tx1"/>
                  </w14:solidFill>
                </w14:textFill>
              </w:rPr>
            </w:pPr>
            <w:r>
              <w:rPr>
                <w:rFonts w:hint="eastAsia" w:ascii="宋体" w:hAnsi="宋体" w:cs="Times New Roman"/>
                <w:bCs/>
                <w:color w:val="000000" w:themeColor="text1"/>
                <w:sz w:val="24"/>
                <w14:textFill>
                  <w14:solidFill>
                    <w14:schemeClr w14:val="tx1"/>
                  </w14:solidFill>
                </w14:textFill>
              </w:rPr>
              <w:t>本专业建有浙江省“十三五”省级重点建设实验教学示范中心。中心实验室用房面积6800多平方米，仪器设备总值5150多万元，下设基础实验室、专业实验室、实训基地、创新基地四类实验室（53个实验分室）以及科技研发平台和培训结构，为学生开展教学实验、实习实训、毕业设计、课外科技创新活动、教师科研以及对外培训提供充足的实验实训条件。</w:t>
            </w:r>
          </w:p>
          <w:p>
            <w:pPr>
              <w:snapToGrid w:val="0"/>
              <w:spacing w:line="360" w:lineRule="auto"/>
              <w:ind w:firstLine="480" w:firstLineChars="200"/>
              <w:jc w:val="left"/>
              <w:rPr>
                <w:rFonts w:ascii="宋体" w:hAnsi="宋体" w:cs="Times New Roman"/>
                <w:bCs/>
                <w:color w:val="000000" w:themeColor="text1"/>
                <w:sz w:val="24"/>
                <w14:textFill>
                  <w14:solidFill>
                    <w14:schemeClr w14:val="tx1"/>
                  </w14:solidFill>
                </w14:textFill>
              </w:rPr>
            </w:pPr>
            <w:r>
              <w:rPr>
                <w:rFonts w:hint="eastAsia" w:ascii="宋体" w:hAnsi="宋体" w:cs="Times New Roman"/>
                <w:bCs/>
                <w:color w:val="000000" w:themeColor="text1"/>
                <w:sz w:val="24"/>
                <w14:textFill>
                  <w14:solidFill>
                    <w14:schemeClr w14:val="tx1"/>
                  </w14:solidFill>
                </w14:textFill>
              </w:rPr>
              <w:t>专业建设经费来源稳定，能够持续使用，并且每年都在增长。经费主要用于购买和更新教学科研仪器设备，以及支持各类专业建设项目。专业生均教学科研仪器设备值超3万元。与政府、行业、企业构建协同育人模式，实现人才培养供给侧和产业需求侧要素融合，与20余家企业建立“3+1”协同育人模式，打造出一方集实践教学、科技研发、生产实习、培训服务等多位一体的校外教育教学基地，已建成20余家较稳定的校外实习基地。其中与浙江金马逊机械有限公司联合共建了“浙江省航空航天金属导管塑性成形技术与装备重点实验室”，与浙江涛涛车业股份有限公司、浙江山蒲照明电器有限公司共建实验室、与浙江方正电机股份有限公司、丽水市杰祥科技有限公司等建立研发中心，与丽水市经济开发区的浙江威肯特智能机械有限公司（滚动功能部件）等公司建立大学生就业实践基地。</w:t>
            </w:r>
          </w:p>
          <w:p>
            <w:pPr>
              <w:snapToGrid w:val="0"/>
              <w:spacing w:line="360" w:lineRule="auto"/>
              <w:ind w:firstLine="480" w:firstLineChars="200"/>
              <w:jc w:val="left"/>
              <w:rPr>
                <w:rFonts w:ascii="Times New Roman" w:hAnsi="Times New Roman" w:eastAsia="方正仿宋简体" w:cs="Times New Roman"/>
                <w:color w:val="000000" w:themeColor="text1"/>
                <w:sz w:val="18"/>
                <w:szCs w:val="18"/>
                <w14:textFill>
                  <w14:solidFill>
                    <w14:schemeClr w14:val="tx1"/>
                  </w14:solidFill>
                </w14:textFill>
              </w:rPr>
            </w:pPr>
            <w:r>
              <w:rPr>
                <w:rFonts w:hint="eastAsia" w:ascii="宋体" w:hAnsi="宋体" w:cs="Times New Roman"/>
                <w:bCs/>
                <w:color w:val="000000" w:themeColor="text1"/>
                <w:sz w:val="24"/>
                <w14:textFill>
                  <w14:solidFill>
                    <w14:schemeClr w14:val="tx1"/>
                  </w14:solidFill>
                </w14:textFill>
              </w:rPr>
              <w:t>此外，实验中心积极协同创办科技型企业及创新站，最大限度地发挥这些企业和创新站在学生工程能力培养中的独特作用。结合区域经济发展重点，推进“半导体、精密制造、健康医药、时尚产业、数字经济”等五大地方主导产业以及地方特色产业的经济转型升级，通过建设稳定的实训基地，并提供足够的数量和种类的实训设备，以保证学生的实习实训需求得到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5" w:hRule="atLeast"/>
          <w:jc w:val="center"/>
        </w:trPr>
        <w:tc>
          <w:tcPr>
            <w:tcW w:w="888"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技术研发与社会服务基础概要</w:t>
            </w:r>
          </w:p>
        </w:tc>
        <w:tc>
          <w:tcPr>
            <w:tcW w:w="7844" w:type="dxa"/>
            <w:gridSpan w:val="4"/>
          </w:tcPr>
          <w:p>
            <w:pPr>
              <w:snapToGrid w:val="0"/>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（对应《办法》第十三条填写，不超过1000字）</w:t>
            </w:r>
          </w:p>
          <w:p>
            <w:pPr>
              <w:pStyle w:val="12"/>
              <w:rPr>
                <w:color w:val="000000" w:themeColor="text1"/>
                <w14:textFill>
                  <w14:solidFill>
                    <w14:schemeClr w14:val="tx1"/>
                  </w14:solidFill>
                </w14:textFill>
              </w:rPr>
            </w:pPr>
            <w:r>
              <w:rPr>
                <w:color w:val="000000" w:themeColor="text1"/>
                <w14:textFill>
                  <w14:solidFill>
                    <w14:schemeClr w14:val="tx1"/>
                  </w14:solidFill>
                </w14:textFill>
              </w:rPr>
              <w:t>（办法</w:t>
            </w:r>
            <w:r>
              <w:rPr>
                <w:rFonts w:hint="eastAsia"/>
                <w:color w:val="000000" w:themeColor="text1"/>
                <w14:textFill>
                  <w14:solidFill>
                    <w14:schemeClr w14:val="tx1"/>
                  </w14:solidFill>
                </w14:textFill>
              </w:rPr>
              <w:t>第十三条 设置本科层次职业教育专业需在技术研发与社会服务上有较好的工作基础，具体应具备以下条件：</w:t>
            </w:r>
            <w:r>
              <w:rPr>
                <w:rFonts w:hint="eastAsia"/>
                <w:color w:val="000000" w:themeColor="text1"/>
                <w14:textFill>
                  <w14:solidFill>
                    <w14:schemeClr w14:val="tx1"/>
                  </w14:solidFill>
                </w14:textFill>
              </w:rPr>
              <w:cr/>
            </w:r>
            <w:r>
              <w:rPr>
                <w:rFonts w:hint="eastAsia"/>
                <w:color w:val="000000" w:themeColor="text1"/>
                <w14:textFill>
                  <w14:solidFill>
                    <w14:schemeClr w14:val="tx1"/>
                  </w14:solidFill>
                </w14:textFill>
              </w:rPr>
              <w:t>（一）有省级及以上技术研发推广平台（工程研究中心、协同创新中心、重点实验室或技术技能大师工作室、实验实训基地等）。</w:t>
            </w:r>
            <w:r>
              <w:rPr>
                <w:rFonts w:hint="eastAsia"/>
                <w:color w:val="000000" w:themeColor="text1"/>
                <w14:textFill>
                  <w14:solidFill>
                    <w14:schemeClr w14:val="tx1"/>
                  </w14:solidFill>
                </w14:textFill>
              </w:rPr>
              <w:cr/>
            </w:r>
            <w:r>
              <w:rPr>
                <w:rFonts w:hint="eastAsia"/>
                <w:color w:val="000000" w:themeColor="text1"/>
                <w14:textFill>
                  <w14:solidFill>
                    <w14:schemeClr w14:val="tx1"/>
                  </w14:solidFill>
                </w14:textFill>
              </w:rPr>
              <w:t>（二）能够面向区域、行业企业开展科研、技术研发、社会服务等项目，并产生明显的经济和社会效益。</w:t>
            </w:r>
            <w:r>
              <w:rPr>
                <w:rFonts w:hint="eastAsia"/>
                <w:color w:val="000000" w:themeColor="text1"/>
                <w14:textFill>
                  <w14:solidFill>
                    <w14:schemeClr w14:val="tx1"/>
                  </w14:solidFill>
                </w14:textFill>
              </w:rPr>
              <w:cr/>
            </w:r>
            <w:r>
              <w:rPr>
                <w:rFonts w:hint="eastAsia"/>
                <w:color w:val="000000" w:themeColor="text1"/>
                <w14:textFill>
                  <w14:solidFill>
                    <w14:schemeClr w14:val="tx1"/>
                  </w14:solidFill>
                </w14:textFill>
              </w:rPr>
              <w:t>（三）专业面向行业企业和社会开展职业培训人次每年不少于本专业在校生人数的2倍。</w:t>
            </w:r>
            <w:r>
              <w:rPr>
                <w:color w:val="000000" w:themeColor="text1"/>
                <w14:textFill>
                  <w14:solidFill>
                    <w14:schemeClr w14:val="tx1"/>
                  </w14:solidFill>
                </w14:textFill>
              </w:rPr>
              <w:t>）</w:t>
            </w:r>
          </w:p>
          <w:p>
            <w:pPr>
              <w:widowControl/>
              <w:spacing w:line="360" w:lineRule="auto"/>
              <w:jc w:val="left"/>
              <w:rPr>
                <w:rFonts w:ascii="黑体" w:hAnsi="黑体" w:eastAsia="黑体" w:cs="宋体"/>
                <w:bCs/>
                <w:color w:val="000000" w:themeColor="text1"/>
                <w:kern w:val="0"/>
                <w:sz w:val="24"/>
                <w:szCs w:val="24"/>
                <w:lang w:bidi="zh-CN"/>
                <w14:textFill>
                  <w14:solidFill>
                    <w14:schemeClr w14:val="tx1"/>
                  </w14:solidFill>
                </w14:textFill>
              </w:rPr>
            </w:pPr>
            <w:r>
              <w:rPr>
                <w:rFonts w:hint="eastAsia" w:ascii="黑体" w:hAnsi="黑体" w:eastAsia="黑体" w:cs="宋体"/>
                <w:bCs/>
                <w:color w:val="000000" w:themeColor="text1"/>
                <w:kern w:val="0"/>
                <w:sz w:val="24"/>
                <w:szCs w:val="24"/>
                <w:lang w:bidi="zh-CN"/>
                <w14:textFill>
                  <w14:solidFill>
                    <w14:schemeClr w14:val="tx1"/>
                  </w14:solidFill>
                </w14:textFill>
              </w:rPr>
              <w:t>1.建设创新服务平台，助力地方产业升级</w:t>
            </w:r>
          </w:p>
          <w:p>
            <w:pPr>
              <w:pStyle w:val="12"/>
              <w:spacing w:line="360" w:lineRule="auto"/>
              <w:ind w:firstLine="480" w:firstLineChars="200"/>
              <w:rPr>
                <w:rFonts w:ascii="宋体" w:hAnsi="宋体" w:eastAsia="宋体" w:cs="宋体"/>
                <w:bCs/>
                <w:color w:val="000000" w:themeColor="text1"/>
                <w:kern w:val="0"/>
                <w:sz w:val="24"/>
                <w:szCs w:val="24"/>
                <w:lang w:bidi="zh-CN"/>
                <w14:textFill>
                  <w14:solidFill>
                    <w14:schemeClr w14:val="tx1"/>
                  </w14:solidFill>
                </w14:textFill>
              </w:rPr>
            </w:pPr>
            <w:r>
              <w:rPr>
                <w:rFonts w:hint="eastAsia" w:ascii="宋体" w:hAnsi="宋体" w:eastAsia="宋体" w:cs="宋体"/>
                <w:bCs/>
                <w:color w:val="000000" w:themeColor="text1"/>
                <w:kern w:val="0"/>
                <w:sz w:val="24"/>
                <w:szCs w:val="24"/>
                <w:lang w:bidi="zh-CN"/>
                <w14:textFill>
                  <w14:solidFill>
                    <w14:schemeClr w14:val="tx1"/>
                  </w14:solidFill>
                </w14:textFill>
              </w:rPr>
              <w:t>本专业校内机械工程实验中心2013年获批为浙江省高等学校实验教学示范中心，2019年开始建设有“浙江省航空航天金属导管塑性成形技术与装备”省重点实验室、“机械工程实验教学中心”省级重点实验示范教学中心、“浙江省锯床和特色机械装备行业省级大学生校外实践教育基地”省级大学生校外实践教育基地、“丽水学院机电创新实训平台”等省级教学实践平台。同时与紧密合作企业共建“浙江省智能物联低碳热泵环境设备重点企业研究院”、“浙江省绿色智能健康家电重点企业研究院等省级企业研究院”等5家省级企业研究院，及“浙江省华企正邦 SMT 设备省级高新技术企业研究开发中心”、“浙江省健壮滚动功能部件高新技术企业研究开发中心”等10家省级高新技术企研发中心。</w:t>
            </w:r>
          </w:p>
          <w:p>
            <w:pPr>
              <w:widowControl/>
              <w:spacing w:line="360" w:lineRule="auto"/>
              <w:jc w:val="left"/>
              <w:rPr>
                <w:rFonts w:ascii="宋体" w:hAnsi="宋体" w:eastAsia="宋体" w:cs="宋体"/>
                <w:bCs/>
                <w:color w:val="000000" w:themeColor="text1"/>
                <w:kern w:val="0"/>
                <w:sz w:val="24"/>
                <w:szCs w:val="24"/>
                <w:lang w:bidi="zh-CN"/>
                <w14:textFill>
                  <w14:solidFill>
                    <w14:schemeClr w14:val="tx1"/>
                  </w14:solidFill>
                </w14:textFill>
              </w:rPr>
            </w:pPr>
            <w:r>
              <w:rPr>
                <w:rFonts w:hint="eastAsia" w:ascii="黑体" w:hAnsi="黑体" w:eastAsia="黑体" w:cs="宋体"/>
                <w:bCs/>
                <w:color w:val="000000" w:themeColor="text1"/>
                <w:kern w:val="0"/>
                <w:sz w:val="24"/>
                <w:szCs w:val="24"/>
                <w:lang w:bidi="zh-CN"/>
                <w14:textFill>
                  <w14:solidFill>
                    <w14:schemeClr w14:val="tx1"/>
                  </w14:solidFill>
                </w14:textFill>
              </w:rPr>
              <w:t>2.服务区域经济发展，经济社会效益显著</w:t>
            </w:r>
          </w:p>
          <w:p>
            <w:pPr>
              <w:pStyle w:val="12"/>
              <w:spacing w:line="360" w:lineRule="auto"/>
              <w:ind w:firstLine="480" w:firstLineChars="200"/>
              <w:rPr>
                <w:rFonts w:ascii="宋体" w:hAnsi="宋体" w:eastAsia="宋体" w:cs="宋体"/>
                <w:bCs/>
                <w:color w:val="000000" w:themeColor="text1"/>
                <w:kern w:val="0"/>
                <w:sz w:val="24"/>
                <w:szCs w:val="24"/>
                <w:lang w:bidi="zh-CN"/>
                <w14:textFill>
                  <w14:solidFill>
                    <w14:schemeClr w14:val="tx1"/>
                  </w14:solidFill>
                </w14:textFill>
              </w:rPr>
            </w:pPr>
            <w:r>
              <w:rPr>
                <w:rFonts w:hint="eastAsia" w:ascii="宋体" w:hAnsi="宋体" w:eastAsia="宋体" w:cs="宋体"/>
                <w:bCs/>
                <w:color w:val="000000" w:themeColor="text1"/>
                <w:kern w:val="0"/>
                <w:sz w:val="24"/>
                <w:szCs w:val="24"/>
                <w:lang w:bidi="zh-CN"/>
                <w14:textFill>
                  <w14:solidFill>
                    <w14:schemeClr w14:val="tx1"/>
                  </w14:solidFill>
                </w14:textFill>
              </w:rPr>
              <w:t>本专业老师近五年承担国家课题11项，省部级课题18项，各类企事业单位委托横向项目50余项，科研经费合同金额2000余万元。同时还开展了社会服务60余项。其中《区域特色机电和青瓷产业全过程节能减排关键技术研究及应用》获浙江省科学技术进步奖，该项目技术难度大，在龙泉青瓷节能烧制、空气源与太阳能热水器节能控制、微型电机节能驱动、荧光灯降汞减排等关键技术取得了创新与突破，整体技术达到了国际先进水平，其中龙泉青瓷节能烧制技术达到国际领先水平。该项目已获发明专利19项，参与制订国家或行业标准4项，负责起草浙江制造团体标准2项,产品远销三十多个国家地区，近三年新增销售13.27亿元，新增利润1.86亿元，新增税收0.9亿元，岀口创汇1.88亿美元，经济会效益显著，为我国相关产业节能减排与绿色发展作岀重大贡献。</w:t>
            </w:r>
          </w:p>
          <w:p>
            <w:pPr>
              <w:widowControl/>
              <w:spacing w:line="360" w:lineRule="auto"/>
              <w:jc w:val="left"/>
              <w:rPr>
                <w:rFonts w:ascii="黑体" w:hAnsi="黑体" w:eastAsia="黑体" w:cs="宋体"/>
                <w:bCs/>
                <w:color w:val="000000" w:themeColor="text1"/>
                <w:kern w:val="0"/>
                <w:sz w:val="24"/>
                <w:szCs w:val="24"/>
                <w:lang w:bidi="zh-CN"/>
                <w14:textFill>
                  <w14:solidFill>
                    <w14:schemeClr w14:val="tx1"/>
                  </w14:solidFill>
                </w14:textFill>
              </w:rPr>
            </w:pPr>
            <w:r>
              <w:rPr>
                <w:rFonts w:hint="eastAsia" w:ascii="黑体" w:hAnsi="黑体" w:eastAsia="黑体" w:cs="宋体"/>
                <w:bCs/>
                <w:color w:val="000000" w:themeColor="text1"/>
                <w:kern w:val="0"/>
                <w:sz w:val="24"/>
                <w:szCs w:val="24"/>
                <w:lang w:bidi="zh-CN"/>
                <w14:textFill>
                  <w14:solidFill>
                    <w14:schemeClr w14:val="tx1"/>
                  </w14:solidFill>
                </w14:textFill>
              </w:rPr>
              <w:t>3.打造技能育人高地，培养高水平技术人才</w:t>
            </w:r>
          </w:p>
          <w:p>
            <w:pPr>
              <w:pStyle w:val="12"/>
              <w:spacing w:line="360" w:lineRule="auto"/>
              <w:ind w:firstLine="480" w:firstLineChars="200"/>
              <w:rPr>
                <w:rFonts w:ascii="宋体" w:hAnsi="宋体" w:eastAsia="宋体" w:cs="宋体"/>
                <w:bCs/>
                <w:color w:val="000000" w:themeColor="text1"/>
                <w:kern w:val="0"/>
                <w:sz w:val="24"/>
                <w:szCs w:val="24"/>
                <w:lang w:bidi="zh-CN"/>
                <w14:textFill>
                  <w14:solidFill>
                    <w14:schemeClr w14:val="tx1"/>
                  </w14:solidFill>
                </w14:textFill>
              </w:rPr>
            </w:pPr>
            <w:r>
              <w:rPr>
                <w:rFonts w:hint="eastAsia" w:ascii="宋体" w:hAnsi="宋体" w:eastAsia="宋体" w:cs="宋体"/>
                <w:bCs/>
                <w:color w:val="000000" w:themeColor="text1"/>
                <w:kern w:val="0"/>
                <w:sz w:val="24"/>
                <w:szCs w:val="24"/>
                <w:lang w:bidi="zh-CN"/>
                <w14:textFill>
                  <w14:solidFill>
                    <w14:schemeClr w14:val="tx1"/>
                  </w14:solidFill>
                </w14:textFill>
              </w:rPr>
              <w:t>学校建有中德（丽水）跨企业培训中心和中德（丽水）教育工程师培训认证中心，积极开展社会培训。作为为丽水市“双师”培训基地，近三年共培训各类师资5000多人次；作为人社部多个工种的职业技能培训基地，近三年培训各工种高级工以上职业资格，共计7000多人次；作为浙江省企业职工培训基地，近三年累计培训企业职工和下岗人员13000多人次。其中2022、2023连续两年承办丽水经济技术开发区“技绽人生，助力共富”技能大赛的电工、铣工、车工、钳工、制图员、机器人等工种的赛前培训和比赛工作，为开发区企业员工培训高级工及以上2000多人。</w:t>
            </w:r>
          </w:p>
          <w:p>
            <w:pPr>
              <w:snapToGrid w:val="0"/>
              <w:jc w:val="left"/>
              <w:rPr>
                <w:rFonts w:ascii="Times New Roman" w:hAnsi="Times New Roman" w:eastAsia="方正仿宋简体" w:cs="Times New Roman"/>
                <w:color w:val="000000" w:themeColor="text1"/>
                <w:sz w:val="18"/>
                <w:szCs w:val="18"/>
                <w14:textFill>
                  <w14:solidFill>
                    <w14:schemeClr w14:val="tx1"/>
                  </w14:solidFill>
                </w14:textFill>
              </w:rPr>
            </w:pPr>
          </w:p>
          <w:p>
            <w:pPr>
              <w:snapToGrid w:val="0"/>
              <w:jc w:val="left"/>
              <w:rPr>
                <w:rFonts w:ascii="Times New Roman" w:hAnsi="Times New Roman" w:eastAsia="方正仿宋简体" w:cs="Times New Roman"/>
                <w:color w:val="000000" w:themeColor="text1"/>
                <w:sz w:val="18"/>
                <w:szCs w:val="18"/>
                <w14:textFill>
                  <w14:solidFill>
                    <w14:schemeClr w14:val="tx1"/>
                  </w14:solidFill>
                </w14:textFill>
              </w:rPr>
            </w:pPr>
          </w:p>
          <w:p>
            <w:pPr>
              <w:snapToGrid w:val="0"/>
              <w:jc w:val="left"/>
              <w:rPr>
                <w:rFonts w:ascii="Times New Roman" w:hAnsi="Times New Roman" w:eastAsia="方正仿宋简体" w:cs="Times New Roman"/>
                <w:color w:val="000000" w:themeColor="text1"/>
                <w:sz w:val="18"/>
                <w:szCs w:val="18"/>
                <w14:textFill>
                  <w14:solidFill>
                    <w14:schemeClr w14:val="tx1"/>
                  </w14:solidFill>
                </w14:textFill>
              </w:rPr>
            </w:pPr>
          </w:p>
          <w:p>
            <w:pPr>
              <w:snapToGrid w:val="0"/>
              <w:jc w:val="left"/>
              <w:rPr>
                <w:rFonts w:ascii="Times New Roman" w:hAnsi="Times New Roman" w:eastAsia="方正仿宋简体" w:cs="Times New Roman"/>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1" w:hRule="atLeast"/>
          <w:jc w:val="center"/>
        </w:trPr>
        <w:tc>
          <w:tcPr>
            <w:tcW w:w="888" w:type="dxa"/>
            <w:vAlign w:val="center"/>
          </w:tcPr>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专家组评议意见</w:t>
            </w:r>
          </w:p>
        </w:tc>
        <w:tc>
          <w:tcPr>
            <w:tcW w:w="7844" w:type="dxa"/>
            <w:gridSpan w:val="4"/>
            <w:vAlign w:val="bottom"/>
          </w:tcPr>
          <w:p>
            <w:pPr>
              <w:snapToGrid w:val="0"/>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（对应《办法》有关规定全面评议，不少于200字）</w:t>
            </w: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p>
          <w:p>
            <w:pPr>
              <w:snapToGrid w:val="0"/>
              <w:jc w:val="left"/>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24"/>
                <w:szCs w:val="24"/>
                <w:lang w:bidi="ar"/>
                <w14:textFill>
                  <w14:solidFill>
                    <w14:schemeClr w14:val="tx1"/>
                  </w14:solidFill>
                </w14:textFill>
              </w:rPr>
              <w:tab/>
            </w:r>
          </w:p>
          <w:p>
            <w:pPr>
              <w:tabs>
                <w:tab w:val="left" w:pos="478"/>
              </w:tabs>
              <w:wordWrap w:val="0"/>
              <w:snapToGrid w:val="0"/>
              <w:ind w:firstLine="1440" w:firstLineChars="600"/>
              <w:rPr>
                <w:rFonts w:ascii="Times New Roman" w:hAnsi="Times New Roman" w:eastAsia="仿宋_GB2312" w:cs="Times New Roman"/>
                <w:color w:val="000000" w:themeColor="text1"/>
                <w:sz w:val="24"/>
                <w:szCs w:val="24"/>
                <w:lang w:bidi="ar"/>
                <w14:textFill>
                  <w14:solidFill>
                    <w14:schemeClr w14:val="tx1"/>
                  </w14:solidFill>
                </w14:textFill>
              </w:rPr>
            </w:pPr>
            <w:r>
              <w:rPr>
                <w:rFonts w:ascii="Times New Roman" w:hAnsi="Times New Roman" w:eastAsia="仿宋_GB2312" w:cs="Times New Roman"/>
                <w:color w:val="000000" w:themeColor="text1"/>
                <w:sz w:val="24"/>
                <w:szCs w:val="24"/>
                <w:lang w:bidi="ar"/>
                <w14:textFill>
                  <w14:solidFill>
                    <w14:schemeClr w14:val="tx1"/>
                  </w14:solidFill>
                </w14:textFill>
              </w:rPr>
              <w:t xml:space="preserve">专家组长签字：                                   </w:t>
            </w:r>
          </w:p>
          <w:p>
            <w:pPr>
              <w:snapToGrid w:val="0"/>
              <w:jc w:val="right"/>
              <w:rPr>
                <w:rFonts w:ascii="Times New Roman" w:hAnsi="Times New Roman" w:eastAsia="仿宋_GB2312" w:cs="Times New Roman"/>
                <w:color w:val="000000" w:themeColor="text1"/>
                <w:szCs w:val="21"/>
                <w:lang w:bidi="ar"/>
                <w14:textFill>
                  <w14:solidFill>
                    <w14:schemeClr w14:val="tx1"/>
                  </w14:solidFill>
                </w14:textFill>
              </w:rPr>
            </w:pPr>
          </w:p>
          <w:p>
            <w:pPr>
              <w:snapToGrid w:val="0"/>
              <w:jc w:val="right"/>
              <w:rPr>
                <w:rFonts w:ascii="Times New Roman" w:hAnsi="Times New Roman" w:eastAsia="仿宋_GB2312" w:cs="Times New Roman"/>
                <w:color w:val="000000" w:themeColor="text1"/>
                <w:sz w:val="18"/>
                <w:szCs w:val="18"/>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9" w:hRule="atLeast"/>
          <w:jc w:val="center"/>
        </w:trPr>
        <w:tc>
          <w:tcPr>
            <w:tcW w:w="888" w:type="dxa"/>
            <w:vAlign w:val="center"/>
          </w:tcPr>
          <w:p>
            <w:pPr>
              <w:snapToGrid w:val="0"/>
              <w:jc w:val="center"/>
              <w:rPr>
                <w:rFonts w:ascii="Times New Roman" w:hAnsi="Times New Roman" w:eastAsia="方正仿宋简体" w:cs="Times New Roman"/>
                <w:color w:val="000000" w:themeColor="text1"/>
                <w:sz w:val="24"/>
                <w:szCs w:val="24"/>
                <w14:textFill>
                  <w14:solidFill>
                    <w14:schemeClr w14:val="tx1"/>
                  </w14:solidFill>
                </w14:textFill>
              </w:rPr>
            </w:pPr>
          </w:p>
          <w:p>
            <w:pPr>
              <w:snapToGrid w:val="0"/>
              <w:jc w:val="center"/>
              <w:rPr>
                <w:rFonts w:ascii="Times New Roman" w:hAnsi="Times New Roman" w:eastAsia="方正仿宋简体" w:cs="Times New Roman"/>
                <w:color w:val="000000" w:themeColor="text1"/>
                <w:sz w:val="24"/>
                <w:szCs w:val="24"/>
                <w14:textFill>
                  <w14:solidFill>
                    <w14:schemeClr w14:val="tx1"/>
                  </w14:solidFill>
                </w14:textFill>
              </w:rPr>
            </w:pPr>
          </w:p>
          <w:p>
            <w:pPr>
              <w:snapToGrid w:val="0"/>
              <w:jc w:val="center"/>
              <w:rPr>
                <w:rFonts w:ascii="Times New Roman" w:hAnsi="Times New Roman" w:eastAsia="方正仿宋简体" w:cs="Times New Roman"/>
                <w:color w:val="000000" w:themeColor="text1"/>
                <w:sz w:val="24"/>
                <w:szCs w:val="24"/>
                <w14:textFill>
                  <w14:solidFill>
                    <w14:schemeClr w14:val="tx1"/>
                  </w14:solidFill>
                </w14:textFill>
              </w:rPr>
            </w:pPr>
          </w:p>
          <w:p>
            <w:pPr>
              <w:snapToGrid w:val="0"/>
              <w:jc w:val="center"/>
              <w:rPr>
                <w:rFonts w:ascii="Times New Roman" w:hAnsi="Times New Roman" w:eastAsia="方正仿宋简体" w:cs="Times New Roman"/>
                <w:color w:val="000000" w:themeColor="text1"/>
                <w:sz w:val="24"/>
                <w:szCs w:val="24"/>
                <w14:textFill>
                  <w14:solidFill>
                    <w14:schemeClr w14:val="tx1"/>
                  </w14:solidFill>
                </w14:textFill>
              </w:rPr>
            </w:pPr>
          </w:p>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p>
          <w:p>
            <w:pPr>
              <w:snapToGrid w:val="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省级教育行政部门复核意见</w:t>
            </w:r>
          </w:p>
          <w:p>
            <w:pPr>
              <w:snapToGrid w:val="0"/>
              <w:jc w:val="center"/>
              <w:rPr>
                <w:rFonts w:ascii="Times New Roman" w:hAnsi="Times New Roman" w:eastAsia="方正仿宋简体" w:cs="Times New Roman"/>
                <w:color w:val="000000" w:themeColor="text1"/>
                <w:sz w:val="24"/>
                <w:szCs w:val="24"/>
                <w14:textFill>
                  <w14:solidFill>
                    <w14:schemeClr w14:val="tx1"/>
                  </w14:solidFill>
                </w14:textFill>
              </w:rPr>
            </w:pPr>
          </w:p>
          <w:p>
            <w:pPr>
              <w:snapToGrid w:val="0"/>
              <w:jc w:val="center"/>
              <w:rPr>
                <w:rFonts w:ascii="Times New Roman" w:hAnsi="Times New Roman" w:eastAsia="方正仿宋简体" w:cs="Times New Roman"/>
                <w:color w:val="000000" w:themeColor="text1"/>
                <w:sz w:val="24"/>
                <w:szCs w:val="24"/>
                <w14:textFill>
                  <w14:solidFill>
                    <w14:schemeClr w14:val="tx1"/>
                  </w14:solidFill>
                </w14:textFill>
              </w:rPr>
            </w:pPr>
          </w:p>
          <w:p>
            <w:pPr>
              <w:snapToGrid w:val="0"/>
              <w:jc w:val="center"/>
              <w:rPr>
                <w:rFonts w:ascii="Times New Roman" w:hAnsi="Times New Roman" w:eastAsia="方正仿宋简体" w:cs="Times New Roman"/>
                <w:color w:val="000000" w:themeColor="text1"/>
                <w:sz w:val="24"/>
                <w:szCs w:val="24"/>
                <w14:textFill>
                  <w14:solidFill>
                    <w14:schemeClr w14:val="tx1"/>
                  </w14:solidFill>
                </w14:textFill>
              </w:rPr>
            </w:pPr>
          </w:p>
          <w:p>
            <w:pPr>
              <w:snapToGrid w:val="0"/>
              <w:jc w:val="center"/>
              <w:rPr>
                <w:rFonts w:ascii="Times New Roman" w:hAnsi="Times New Roman" w:eastAsia="方正仿宋简体" w:cs="Times New Roman"/>
                <w:color w:val="000000" w:themeColor="text1"/>
                <w:sz w:val="24"/>
                <w:szCs w:val="24"/>
                <w14:textFill>
                  <w14:solidFill>
                    <w14:schemeClr w14:val="tx1"/>
                  </w14:solidFill>
                </w14:textFill>
              </w:rPr>
            </w:pPr>
          </w:p>
          <w:p>
            <w:pPr>
              <w:snapToGrid w:val="0"/>
              <w:jc w:val="center"/>
              <w:rPr>
                <w:rFonts w:ascii="Times New Roman" w:hAnsi="Times New Roman" w:eastAsia="方正仿宋简体" w:cs="Times New Roman"/>
                <w:color w:val="000000" w:themeColor="text1"/>
                <w:sz w:val="24"/>
                <w:szCs w:val="24"/>
                <w14:textFill>
                  <w14:solidFill>
                    <w14:schemeClr w14:val="tx1"/>
                  </w14:solidFill>
                </w14:textFill>
              </w:rPr>
            </w:pPr>
          </w:p>
          <w:p>
            <w:pPr>
              <w:snapToGrid w:val="0"/>
              <w:jc w:val="center"/>
              <w:rPr>
                <w:rFonts w:ascii="Times New Roman" w:hAnsi="Times New Roman" w:eastAsia="方正仿宋简体" w:cs="Times New Roman"/>
                <w:color w:val="000000" w:themeColor="text1"/>
                <w:sz w:val="24"/>
                <w:szCs w:val="24"/>
                <w14:textFill>
                  <w14:solidFill>
                    <w14:schemeClr w14:val="tx1"/>
                  </w14:solidFill>
                </w14:textFill>
              </w:rPr>
            </w:pPr>
          </w:p>
          <w:p>
            <w:pPr>
              <w:snapToGrid w:val="0"/>
              <w:jc w:val="center"/>
              <w:rPr>
                <w:rFonts w:ascii="Times New Roman" w:hAnsi="Times New Roman" w:eastAsia="方正仿宋简体" w:cs="Times New Roman"/>
                <w:color w:val="000000" w:themeColor="text1"/>
                <w:sz w:val="24"/>
                <w:szCs w:val="24"/>
                <w14:textFill>
                  <w14:solidFill>
                    <w14:schemeClr w14:val="tx1"/>
                  </w14:solidFill>
                </w14:textFill>
              </w:rPr>
            </w:pPr>
          </w:p>
          <w:p>
            <w:pPr>
              <w:snapToGrid w:val="0"/>
              <w:jc w:val="center"/>
              <w:rPr>
                <w:rFonts w:ascii="Times New Roman" w:hAnsi="Times New Roman" w:eastAsia="方正仿宋简体" w:cs="Times New Roman"/>
                <w:color w:val="000000" w:themeColor="text1"/>
                <w:sz w:val="24"/>
                <w:szCs w:val="24"/>
                <w14:textFill>
                  <w14:solidFill>
                    <w14:schemeClr w14:val="tx1"/>
                  </w14:solidFill>
                </w14:textFill>
              </w:rPr>
            </w:pPr>
          </w:p>
          <w:p>
            <w:pPr>
              <w:snapToGrid w:val="0"/>
              <w:jc w:val="center"/>
              <w:rPr>
                <w:rFonts w:ascii="Times New Roman" w:hAnsi="Times New Roman" w:eastAsia="方正仿宋简体" w:cs="Times New Roman"/>
                <w:color w:val="000000" w:themeColor="text1"/>
                <w:sz w:val="24"/>
                <w:szCs w:val="24"/>
                <w14:textFill>
                  <w14:solidFill>
                    <w14:schemeClr w14:val="tx1"/>
                  </w14:solidFill>
                </w14:textFill>
              </w:rPr>
            </w:pPr>
          </w:p>
        </w:tc>
        <w:tc>
          <w:tcPr>
            <w:tcW w:w="7844" w:type="dxa"/>
            <w:gridSpan w:val="4"/>
            <w:vAlign w:val="bottom"/>
          </w:tcPr>
          <w:p>
            <w:pPr>
              <w:wordWrap w:val="0"/>
              <w:snapToGrid w:val="0"/>
              <w:jc w:val="right"/>
              <w:rPr>
                <w:rFonts w:ascii="Times New Roman" w:hAnsi="Times New Roman" w:eastAsia="方正仿宋简体" w:cs="Times New Roman"/>
                <w:color w:val="000000" w:themeColor="text1"/>
                <w:sz w:val="18"/>
                <w:szCs w:val="18"/>
                <w:lang w:bidi="ar"/>
                <w14:textFill>
                  <w14:solidFill>
                    <w14:schemeClr w14:val="tx1"/>
                  </w14:solidFill>
                </w14:textFill>
              </w:rPr>
            </w:pPr>
          </w:p>
          <w:p>
            <w:pPr>
              <w:snapToGrid w:val="0"/>
              <w:jc w:val="right"/>
              <w:rPr>
                <w:rFonts w:ascii="Times New Roman" w:hAnsi="Times New Roman" w:eastAsia="方正仿宋简体" w:cs="Times New Roman"/>
                <w:color w:val="000000" w:themeColor="text1"/>
                <w:sz w:val="18"/>
                <w:szCs w:val="18"/>
                <w:lang w:bidi="ar"/>
                <w14:textFill>
                  <w14:solidFill>
                    <w14:schemeClr w14:val="tx1"/>
                  </w14:solidFill>
                </w14:textFill>
              </w:rPr>
            </w:pPr>
          </w:p>
          <w:p>
            <w:pPr>
              <w:snapToGrid w:val="0"/>
              <w:jc w:val="right"/>
              <w:rPr>
                <w:rFonts w:ascii="Times New Roman" w:hAnsi="Times New Roman" w:eastAsia="方正仿宋简体" w:cs="Times New Roman"/>
                <w:color w:val="000000" w:themeColor="text1"/>
                <w:sz w:val="18"/>
                <w:szCs w:val="18"/>
                <w:lang w:bidi="ar"/>
                <w14:textFill>
                  <w14:solidFill>
                    <w14:schemeClr w14:val="tx1"/>
                  </w14:solidFill>
                </w14:textFill>
              </w:rPr>
            </w:pPr>
          </w:p>
          <w:p>
            <w:pPr>
              <w:snapToGrid w:val="0"/>
              <w:jc w:val="right"/>
              <w:rPr>
                <w:rFonts w:ascii="Times New Roman" w:hAnsi="Times New Roman" w:eastAsia="方正仿宋简体" w:cs="Times New Roman"/>
                <w:color w:val="000000" w:themeColor="text1"/>
                <w:sz w:val="18"/>
                <w:szCs w:val="18"/>
                <w:lang w:bidi="ar"/>
                <w14:textFill>
                  <w14:solidFill>
                    <w14:schemeClr w14:val="tx1"/>
                  </w14:solidFill>
                </w14:textFill>
              </w:rPr>
            </w:pPr>
          </w:p>
          <w:p>
            <w:pPr>
              <w:snapToGrid w:val="0"/>
              <w:jc w:val="right"/>
              <w:rPr>
                <w:rFonts w:ascii="Times New Roman" w:hAnsi="Times New Roman" w:eastAsia="方正仿宋简体" w:cs="Times New Roman"/>
                <w:color w:val="000000" w:themeColor="text1"/>
                <w:sz w:val="18"/>
                <w:szCs w:val="18"/>
                <w:lang w:bidi="ar"/>
                <w14:textFill>
                  <w14:solidFill>
                    <w14:schemeClr w14:val="tx1"/>
                  </w14:solidFill>
                </w14:textFill>
              </w:rPr>
            </w:pPr>
          </w:p>
          <w:p>
            <w:pPr>
              <w:snapToGrid w:val="0"/>
              <w:jc w:val="right"/>
              <w:rPr>
                <w:rFonts w:ascii="Times New Roman" w:hAnsi="Times New Roman" w:eastAsia="方正仿宋简体" w:cs="Times New Roman"/>
                <w:color w:val="000000" w:themeColor="text1"/>
                <w:sz w:val="18"/>
                <w:szCs w:val="18"/>
                <w:lang w:bidi="ar"/>
                <w14:textFill>
                  <w14:solidFill>
                    <w14:schemeClr w14:val="tx1"/>
                  </w14:solidFill>
                </w14:textFill>
              </w:rPr>
            </w:pPr>
          </w:p>
          <w:p>
            <w:pPr>
              <w:snapToGrid w:val="0"/>
              <w:jc w:val="right"/>
              <w:rPr>
                <w:rFonts w:ascii="Times New Roman" w:hAnsi="Times New Roman" w:eastAsia="方正仿宋简体" w:cs="Times New Roman"/>
                <w:color w:val="000000" w:themeColor="text1"/>
                <w:sz w:val="18"/>
                <w:szCs w:val="18"/>
                <w:lang w:bidi="ar"/>
                <w14:textFill>
                  <w14:solidFill>
                    <w14:schemeClr w14:val="tx1"/>
                  </w14:solidFill>
                </w14:textFill>
              </w:rPr>
            </w:pPr>
          </w:p>
          <w:p>
            <w:pPr>
              <w:snapToGrid w:val="0"/>
              <w:jc w:val="right"/>
              <w:rPr>
                <w:rFonts w:ascii="Times New Roman" w:hAnsi="Times New Roman" w:eastAsia="方正仿宋简体" w:cs="Times New Roman"/>
                <w:color w:val="000000" w:themeColor="text1"/>
                <w:sz w:val="18"/>
                <w:szCs w:val="18"/>
                <w:lang w:bidi="ar"/>
                <w14:textFill>
                  <w14:solidFill>
                    <w14:schemeClr w14:val="tx1"/>
                  </w14:solidFill>
                </w14:textFill>
              </w:rPr>
            </w:pPr>
          </w:p>
          <w:p>
            <w:pPr>
              <w:snapToGrid w:val="0"/>
              <w:jc w:val="right"/>
              <w:rPr>
                <w:rFonts w:ascii="Times New Roman" w:hAnsi="Times New Roman" w:eastAsia="方正仿宋简体" w:cs="Times New Roman"/>
                <w:color w:val="000000" w:themeColor="text1"/>
                <w:sz w:val="18"/>
                <w:szCs w:val="18"/>
                <w:lang w:bidi="ar"/>
                <w14:textFill>
                  <w14:solidFill>
                    <w14:schemeClr w14:val="tx1"/>
                  </w14:solidFill>
                </w14:textFill>
              </w:rPr>
            </w:pPr>
          </w:p>
          <w:p>
            <w:pPr>
              <w:snapToGrid w:val="0"/>
              <w:jc w:val="right"/>
              <w:rPr>
                <w:rFonts w:ascii="Times New Roman" w:hAnsi="Times New Roman" w:eastAsia="方正仿宋简体" w:cs="Times New Roman"/>
                <w:color w:val="000000" w:themeColor="text1"/>
                <w:sz w:val="18"/>
                <w:szCs w:val="18"/>
                <w:lang w:bidi="ar"/>
                <w14:textFill>
                  <w14:solidFill>
                    <w14:schemeClr w14:val="tx1"/>
                  </w14:solidFill>
                </w14:textFill>
              </w:rPr>
            </w:pPr>
          </w:p>
          <w:p>
            <w:pPr>
              <w:snapToGrid w:val="0"/>
              <w:jc w:val="right"/>
              <w:rPr>
                <w:rFonts w:ascii="Times New Roman" w:hAnsi="Times New Roman" w:eastAsia="方正仿宋简体" w:cs="Times New Roman"/>
                <w:color w:val="000000" w:themeColor="text1"/>
                <w:sz w:val="18"/>
                <w:szCs w:val="18"/>
                <w:lang w:bidi="ar"/>
                <w14:textFill>
                  <w14:solidFill>
                    <w14:schemeClr w14:val="tx1"/>
                  </w14:solidFill>
                </w14:textFill>
              </w:rPr>
            </w:pPr>
          </w:p>
          <w:p>
            <w:pPr>
              <w:snapToGrid w:val="0"/>
              <w:jc w:val="right"/>
              <w:rPr>
                <w:rFonts w:ascii="Times New Roman" w:hAnsi="Times New Roman" w:eastAsia="方正仿宋简体" w:cs="Times New Roman"/>
                <w:color w:val="000000" w:themeColor="text1"/>
                <w:sz w:val="18"/>
                <w:szCs w:val="18"/>
                <w:lang w:bidi="ar"/>
                <w14:textFill>
                  <w14:solidFill>
                    <w14:schemeClr w14:val="tx1"/>
                  </w14:solidFill>
                </w14:textFill>
              </w:rPr>
            </w:pPr>
          </w:p>
          <w:p>
            <w:pPr>
              <w:wordWrap w:val="0"/>
              <w:snapToGrid w:val="0"/>
              <w:jc w:val="right"/>
              <w:rPr>
                <w:rFonts w:ascii="Times New Roman" w:hAnsi="Times New Roman" w:eastAsia="方正仿宋简体" w:cs="Times New Roman"/>
                <w:color w:val="000000" w:themeColor="text1"/>
                <w:sz w:val="18"/>
                <w:szCs w:val="18"/>
                <w:lang w:bidi="ar"/>
                <w14:textFill>
                  <w14:solidFill>
                    <w14:schemeClr w14:val="tx1"/>
                  </w14:solidFill>
                </w14:textFill>
              </w:rPr>
            </w:pPr>
          </w:p>
          <w:p>
            <w:pPr>
              <w:wordWrap w:val="0"/>
              <w:snapToGrid w:val="0"/>
              <w:jc w:val="right"/>
              <w:rPr>
                <w:rFonts w:ascii="Times New Roman" w:hAnsi="Times New Roman" w:eastAsia="仿宋_GB2312" w:cs="Times New Roman"/>
                <w:color w:val="000000" w:themeColor="text1"/>
                <w:sz w:val="20"/>
                <w:szCs w:val="20"/>
                <w:lang w:bidi="ar"/>
                <w14:textFill>
                  <w14:solidFill>
                    <w14:schemeClr w14:val="tx1"/>
                  </w14:solidFill>
                </w14:textFill>
              </w:rPr>
            </w:pPr>
          </w:p>
          <w:p>
            <w:pPr>
              <w:wordWrap w:val="0"/>
              <w:snapToGrid w:val="0"/>
              <w:jc w:val="right"/>
              <w:rPr>
                <w:rFonts w:ascii="Times New Roman" w:hAnsi="Times New Roman" w:eastAsia="仿宋_GB2312" w:cs="Times New Roman"/>
                <w:color w:val="000000" w:themeColor="text1"/>
                <w:sz w:val="20"/>
                <w:szCs w:val="20"/>
                <w:lang w:bidi="ar"/>
                <w14:textFill>
                  <w14:solidFill>
                    <w14:schemeClr w14:val="tx1"/>
                  </w14:solidFill>
                </w14:textFill>
              </w:rPr>
            </w:pPr>
          </w:p>
          <w:p>
            <w:pPr>
              <w:wordWrap w:val="0"/>
              <w:snapToGrid w:val="0"/>
              <w:jc w:val="right"/>
              <w:rPr>
                <w:rFonts w:ascii="Times New Roman" w:hAnsi="Times New Roman" w:eastAsia="仿宋_GB2312" w:cs="Times New Roman"/>
                <w:color w:val="000000" w:themeColor="text1"/>
                <w:sz w:val="20"/>
                <w:szCs w:val="20"/>
                <w:lang w:bidi="ar"/>
                <w14:textFill>
                  <w14:solidFill>
                    <w14:schemeClr w14:val="tx1"/>
                  </w14:solidFill>
                </w14:textFill>
              </w:rPr>
            </w:pPr>
          </w:p>
          <w:p>
            <w:pPr>
              <w:wordWrap w:val="0"/>
              <w:snapToGrid w:val="0"/>
              <w:jc w:val="right"/>
              <w:rPr>
                <w:rFonts w:ascii="Times New Roman" w:hAnsi="Times New Roman" w:eastAsia="仿宋_GB2312" w:cs="Times New Roman"/>
                <w:color w:val="000000" w:themeColor="text1"/>
                <w:sz w:val="20"/>
                <w:szCs w:val="20"/>
                <w:lang w:bidi="ar"/>
                <w14:textFill>
                  <w14:solidFill>
                    <w14:schemeClr w14:val="tx1"/>
                  </w14:solidFill>
                </w14:textFill>
              </w:rPr>
            </w:pPr>
          </w:p>
          <w:p>
            <w:pPr>
              <w:wordWrap w:val="0"/>
              <w:snapToGrid w:val="0"/>
              <w:jc w:val="right"/>
              <w:rPr>
                <w:rFonts w:ascii="Times New Roman" w:hAnsi="Times New Roman" w:eastAsia="仿宋_GB2312" w:cs="Times New Roman"/>
                <w:color w:val="000000" w:themeColor="text1"/>
                <w:sz w:val="20"/>
                <w:szCs w:val="20"/>
                <w14:textFill>
                  <w14:solidFill>
                    <w14:schemeClr w14:val="tx1"/>
                  </w14:solidFill>
                </w14:textFill>
              </w:rPr>
            </w:pPr>
            <w:r>
              <w:rPr>
                <w:rFonts w:ascii="Times New Roman" w:hAnsi="Times New Roman" w:eastAsia="仿宋_GB2312" w:cs="Times New Roman"/>
                <w:color w:val="000000" w:themeColor="text1"/>
                <w:sz w:val="20"/>
                <w:szCs w:val="20"/>
                <w:lang w:bidi="ar"/>
                <w14:textFill>
                  <w14:solidFill>
                    <w14:schemeClr w14:val="tx1"/>
                  </w14:solidFill>
                </w14:textFill>
              </w:rPr>
              <w:t xml:space="preserve">          （盖章）                   </w:t>
            </w:r>
          </w:p>
          <w:p>
            <w:pPr>
              <w:snapToGrid w:val="0"/>
              <w:jc w:val="left"/>
              <w:rPr>
                <w:rFonts w:ascii="Times New Roman" w:hAnsi="Times New Roman" w:eastAsia="仿宋_GB2312" w:cs="Times New Roman"/>
                <w:color w:val="000000" w:themeColor="text1"/>
                <w:sz w:val="20"/>
                <w:szCs w:val="20"/>
                <w14:textFill>
                  <w14:solidFill>
                    <w14:schemeClr w14:val="tx1"/>
                  </w14:solidFill>
                </w14:textFill>
              </w:rPr>
            </w:pPr>
          </w:p>
          <w:p>
            <w:pPr>
              <w:wordWrap w:val="0"/>
              <w:snapToGrid w:val="0"/>
              <w:jc w:val="right"/>
              <w:rPr>
                <w:rFonts w:ascii="Times New Roman" w:hAnsi="Times New Roman" w:eastAsia="方正仿宋简体" w:cs="Times New Roman"/>
                <w:color w:val="000000" w:themeColor="text1"/>
                <w:sz w:val="18"/>
                <w:szCs w:val="18"/>
                <w:lang w:bidi="ar"/>
                <w14:textFill>
                  <w14:solidFill>
                    <w14:schemeClr w14:val="tx1"/>
                  </w14:solidFill>
                </w14:textFill>
              </w:rPr>
            </w:pPr>
            <w:r>
              <w:rPr>
                <w:rFonts w:ascii="Times New Roman" w:hAnsi="Times New Roman" w:eastAsia="仿宋_GB2312" w:cs="Times New Roman"/>
                <w:color w:val="000000" w:themeColor="text1"/>
                <w:sz w:val="20"/>
                <w:szCs w:val="20"/>
                <w:lang w:bidi="ar"/>
                <w14:textFill>
                  <w14:solidFill>
                    <w14:schemeClr w14:val="tx1"/>
                  </w14:solidFill>
                </w14:textFill>
              </w:rPr>
              <w:t xml:space="preserve"> 年    月    日      </w:t>
            </w:r>
            <w:r>
              <w:rPr>
                <w:rFonts w:ascii="Times New Roman" w:hAnsi="Times New Roman" w:eastAsia="方正仿宋简体" w:cs="Times New Roman"/>
                <w:color w:val="000000" w:themeColor="text1"/>
                <w:sz w:val="18"/>
                <w:szCs w:val="18"/>
                <w:lang w:bidi="ar"/>
                <w14:textFill>
                  <w14:solidFill>
                    <w14:schemeClr w14:val="tx1"/>
                  </w14:solidFill>
                </w14:textFill>
              </w:rPr>
              <w:t xml:space="preserve">         </w:t>
            </w:r>
          </w:p>
          <w:p>
            <w:pPr>
              <w:snapToGrid w:val="0"/>
              <w:jc w:val="right"/>
              <w:rPr>
                <w:rFonts w:ascii="Times New Roman" w:hAnsi="Times New Roman" w:eastAsia="方正仿宋简体" w:cs="Times New Roman"/>
                <w:color w:val="000000" w:themeColor="text1"/>
                <w:sz w:val="18"/>
                <w:szCs w:val="18"/>
                <w:lang w:bidi="ar"/>
                <w14:textFill>
                  <w14:solidFill>
                    <w14:schemeClr w14:val="tx1"/>
                  </w14:solidFill>
                </w14:textFill>
              </w:rPr>
            </w:pPr>
          </w:p>
          <w:p>
            <w:pPr>
              <w:rPr>
                <w:rFonts w:ascii="Times New Roman" w:hAnsi="Times New Roman" w:eastAsia="方正仿宋简体" w:cs="Times New Roman"/>
                <w:color w:val="000000" w:themeColor="text1"/>
                <w:sz w:val="18"/>
                <w:szCs w:val="18"/>
                <w:lang w:bidi="ar"/>
                <w14:textFill>
                  <w14:solidFill>
                    <w14:schemeClr w14:val="tx1"/>
                  </w14:solidFill>
                </w14:textFill>
              </w:rPr>
            </w:pPr>
          </w:p>
          <w:p>
            <w:pPr>
              <w:rPr>
                <w:rFonts w:ascii="Times New Roman" w:hAnsi="Times New Roman" w:eastAsia="方正仿宋简体" w:cs="Times New Roman"/>
                <w:color w:val="000000" w:themeColor="text1"/>
                <w:sz w:val="18"/>
                <w:szCs w:val="18"/>
                <w:lang w:bidi="ar"/>
                <w14:textFill>
                  <w14:solidFill>
                    <w14:schemeClr w14:val="tx1"/>
                  </w14:solidFill>
                </w14:textFill>
              </w:rPr>
            </w:pPr>
          </w:p>
          <w:p>
            <w:pPr>
              <w:rPr>
                <w:rFonts w:ascii="Times New Roman" w:hAnsi="Times New Roman" w:eastAsia="方正仿宋简体" w:cs="Times New Roman"/>
                <w:color w:val="000000" w:themeColor="text1"/>
                <w:sz w:val="18"/>
                <w:szCs w:val="18"/>
                <w:lang w:bidi="ar"/>
                <w14:textFill>
                  <w14:solidFill>
                    <w14:schemeClr w14:val="tx1"/>
                  </w14:solidFill>
                </w14:textFill>
              </w:rPr>
            </w:pPr>
          </w:p>
          <w:p>
            <w:pPr>
              <w:rPr>
                <w:rFonts w:ascii="Times New Roman" w:hAnsi="Times New Roman" w:eastAsia="方正仿宋简体" w:cs="Times New Roman"/>
                <w:color w:val="000000" w:themeColor="text1"/>
                <w:sz w:val="18"/>
                <w:szCs w:val="18"/>
                <w:lang w:bidi="ar"/>
                <w14:textFill>
                  <w14:solidFill>
                    <w14:schemeClr w14:val="tx1"/>
                  </w14:solidFill>
                </w14:textFill>
              </w:rPr>
            </w:pPr>
          </w:p>
          <w:p>
            <w:pPr>
              <w:rPr>
                <w:rFonts w:ascii="Times New Roman" w:hAnsi="Times New Roman" w:eastAsia="方正仿宋简体" w:cs="Times New Roman"/>
                <w:color w:val="000000" w:themeColor="text1"/>
                <w:sz w:val="18"/>
                <w:szCs w:val="18"/>
                <w:lang w:bidi="ar"/>
                <w14:textFill>
                  <w14:solidFill>
                    <w14:schemeClr w14:val="tx1"/>
                  </w14:solidFill>
                </w14:textFill>
              </w:rPr>
            </w:pPr>
          </w:p>
        </w:tc>
      </w:tr>
    </w:tbl>
    <w:p>
      <w:pPr>
        <w:jc w:val="left"/>
        <w:rPr>
          <w:rFonts w:ascii="Times New Roman" w:hAnsi="Times New Roman" w:eastAsia="仿宋_GB2312" w:cs="Times New Roman"/>
          <w:color w:val="000000" w:themeColor="text1"/>
          <w:sz w:val="32"/>
          <w:szCs w:val="32"/>
          <w14:textFill>
            <w14:solidFill>
              <w14:schemeClr w14:val="tx1"/>
            </w14:solidFill>
          </w14:textFill>
        </w:rPr>
      </w:pPr>
    </w:p>
    <w:sectPr>
      <w:footerReference r:id="rId5"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sdt>
      <w:sdtPr>
        <w:rPr>
          <w:sz w:val="28"/>
          <w:szCs w:val="28"/>
        </w:rPr>
        <w:id w:val="-1"/>
      </w:sdtPr>
      <w:sdtEndPr>
        <w:rPr>
          <w:sz w:val="28"/>
          <w:szCs w:val="28"/>
        </w:rPr>
      </w:sdtEndP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35F1EF"/>
    <w:multiLevelType w:val="singleLevel"/>
    <w:tmpl w:val="CC35F1E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ZjYzBjM2M0YTIxNDYyNzBmZmVmN2IyODA0YTBmODcifQ=="/>
  </w:docVars>
  <w:rsids>
    <w:rsidRoot w:val="00190FBE"/>
    <w:rsid w:val="000A79E6"/>
    <w:rsid w:val="00107CA6"/>
    <w:rsid w:val="001309AA"/>
    <w:rsid w:val="00190FBE"/>
    <w:rsid w:val="002155D2"/>
    <w:rsid w:val="00370EE6"/>
    <w:rsid w:val="003A0CD7"/>
    <w:rsid w:val="0045174D"/>
    <w:rsid w:val="004E0770"/>
    <w:rsid w:val="006802EC"/>
    <w:rsid w:val="006F1320"/>
    <w:rsid w:val="00784112"/>
    <w:rsid w:val="007A4395"/>
    <w:rsid w:val="008F28C8"/>
    <w:rsid w:val="008F6D01"/>
    <w:rsid w:val="00A756E5"/>
    <w:rsid w:val="00A835D9"/>
    <w:rsid w:val="00AD0459"/>
    <w:rsid w:val="00BA211F"/>
    <w:rsid w:val="00D32BBD"/>
    <w:rsid w:val="00DD1034"/>
    <w:rsid w:val="00E64E96"/>
    <w:rsid w:val="00E90BF3"/>
    <w:rsid w:val="024B2609"/>
    <w:rsid w:val="02CD165F"/>
    <w:rsid w:val="065F61B7"/>
    <w:rsid w:val="06B64A6C"/>
    <w:rsid w:val="07317DD4"/>
    <w:rsid w:val="0B1F0E32"/>
    <w:rsid w:val="0D833FB8"/>
    <w:rsid w:val="0E5371AF"/>
    <w:rsid w:val="129C545E"/>
    <w:rsid w:val="1319260B"/>
    <w:rsid w:val="15FB718A"/>
    <w:rsid w:val="1600454E"/>
    <w:rsid w:val="16706BA9"/>
    <w:rsid w:val="16E64EFA"/>
    <w:rsid w:val="18383533"/>
    <w:rsid w:val="19100FAD"/>
    <w:rsid w:val="1BC670A8"/>
    <w:rsid w:val="1EDB2E6A"/>
    <w:rsid w:val="20246C6F"/>
    <w:rsid w:val="21716940"/>
    <w:rsid w:val="22711EB6"/>
    <w:rsid w:val="22C32593"/>
    <w:rsid w:val="230010F2"/>
    <w:rsid w:val="249A5961"/>
    <w:rsid w:val="253D487F"/>
    <w:rsid w:val="26DB2BF9"/>
    <w:rsid w:val="28506F32"/>
    <w:rsid w:val="29A3424B"/>
    <w:rsid w:val="2B481888"/>
    <w:rsid w:val="2DB25E30"/>
    <w:rsid w:val="2E24292D"/>
    <w:rsid w:val="2E5A72C5"/>
    <w:rsid w:val="30420F9B"/>
    <w:rsid w:val="317C78D4"/>
    <w:rsid w:val="32CB26D6"/>
    <w:rsid w:val="356678F7"/>
    <w:rsid w:val="38417D8A"/>
    <w:rsid w:val="3B0E03F8"/>
    <w:rsid w:val="3C3D753E"/>
    <w:rsid w:val="3C683B38"/>
    <w:rsid w:val="3CFB0E50"/>
    <w:rsid w:val="3E4B1261"/>
    <w:rsid w:val="3EF4339D"/>
    <w:rsid w:val="3F18666D"/>
    <w:rsid w:val="43180B1A"/>
    <w:rsid w:val="43AE436B"/>
    <w:rsid w:val="45040EA6"/>
    <w:rsid w:val="45BD3146"/>
    <w:rsid w:val="498458E8"/>
    <w:rsid w:val="4B794B05"/>
    <w:rsid w:val="4BD40E87"/>
    <w:rsid w:val="4C2E7BB6"/>
    <w:rsid w:val="4CCA5220"/>
    <w:rsid w:val="4D002578"/>
    <w:rsid w:val="4E253CF3"/>
    <w:rsid w:val="4EE4027A"/>
    <w:rsid w:val="5B6D0709"/>
    <w:rsid w:val="5C967DF5"/>
    <w:rsid w:val="5EC078B7"/>
    <w:rsid w:val="601E438A"/>
    <w:rsid w:val="62E34E98"/>
    <w:rsid w:val="63802FCE"/>
    <w:rsid w:val="664571D6"/>
    <w:rsid w:val="67237EBF"/>
    <w:rsid w:val="67933A25"/>
    <w:rsid w:val="68C80C7B"/>
    <w:rsid w:val="695B664F"/>
    <w:rsid w:val="6A21493F"/>
    <w:rsid w:val="6BF12722"/>
    <w:rsid w:val="6BF75E60"/>
    <w:rsid w:val="6C6C6DDF"/>
    <w:rsid w:val="709A4B15"/>
    <w:rsid w:val="74E514C2"/>
    <w:rsid w:val="75A651C8"/>
    <w:rsid w:val="795D3D1D"/>
    <w:rsid w:val="7A2B4FE2"/>
    <w:rsid w:val="7CCF018B"/>
    <w:rsid w:val="7E2B263C"/>
    <w:rsid w:val="7F0B63D5"/>
    <w:rsid w:val="7F631975"/>
    <w:rsid w:val="FBF6334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qFormat/>
    <w:uiPriority w:val="0"/>
    <w:pPr>
      <w:spacing w:after="120" w:line="276" w:lineRule="auto"/>
      <w:ind w:left="420" w:leftChars="200"/>
    </w:pPr>
    <w:rPr>
      <w:rFonts w:ascii="Times New Roman" w:hAnsi="Times New Roman" w:eastAsia="宋体" w:cs="Times New Roman"/>
      <w:szCs w:val="24"/>
    </w:rPr>
  </w:style>
  <w:style w:type="paragraph" w:styleId="5">
    <w:name w:val="Body Text"/>
    <w:basedOn w:val="1"/>
    <w:qFormat/>
    <w:uiPriority w:val="1"/>
    <w:pPr>
      <w:autoSpaceDE w:val="0"/>
      <w:autoSpaceDN w:val="0"/>
      <w:jc w:val="left"/>
    </w:pPr>
    <w:rPr>
      <w:rFonts w:ascii="宋体" w:hAnsi="宋体" w:eastAsia="宋体" w:cs="宋体"/>
      <w:kern w:val="0"/>
      <w:sz w:val="28"/>
      <w:szCs w:val="28"/>
      <w:lang w:val="zh-CN" w:bidi="zh-CN"/>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99"/>
    <w:pPr>
      <w:spacing w:before="100" w:beforeAutospacing="1" w:after="100" w:afterAutospacing="1"/>
      <w:jc w:val="left"/>
    </w:pPr>
    <w:rPr>
      <w:rFonts w:cs="Times New Roman"/>
      <w:kern w:val="0"/>
      <w:sz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首行缩进"/>
    <w:basedOn w:val="1"/>
    <w:qFormat/>
    <w:uiPriority w:val="0"/>
  </w:style>
  <w:style w:type="table" w:customStyle="1" w:styleId="13">
    <w:name w:val="网格型1"/>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1253</Words>
  <Characters>7148</Characters>
  <Lines>59</Lines>
  <Paragraphs>16</Paragraphs>
  <TotalTime>0</TotalTime>
  <ScaleCrop>false</ScaleCrop>
  <LinksUpToDate>false</LinksUpToDate>
  <CharactersWithSpaces>8385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2023-11-27T10:39:00Z</dcterms:created>
  <dc:creator>LYH</dc:creator>
  <cp:lastModifiedBy>shenling</cp:lastModifiedBy>
  <cp:lastPrinted>2023-10-24T08:04:00Z</cp:lastPrinted>
  <dcterms:modified xsi:type="dcterms:W3CDTF">2023-12-07T09:27:53Z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1507DFAE9F3840D893F3B8898582B3B6</vt:lpwstr>
  </property>
</Properties>
</file>